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5</w:t>
      </w:r>
      <w:r>
        <w:rPr>
          <w:u w:val="none"/>
        </w:rPr>
        <w:t>1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50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u w:val="none"/>
        </w:rPr>
        <w:t xml:space="preserve">ltera a Lei </w:t>
      </w:r>
      <w:r>
        <w:rPr>
          <w:u w:val="none"/>
        </w:rPr>
        <w:t>Municipal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 xml:space="preserve">4.426, </w:t>
      </w:r>
      <w:r>
        <w:rPr>
          <w:u w:val="none"/>
        </w:rPr>
        <w:t xml:space="preserve">de 2010, </w:t>
      </w:r>
      <w:r>
        <w:rPr>
          <w:u w:val="none"/>
        </w:rPr>
        <w:t>que dispõe sobre o novo plano de carreira do Magistério Público Municipal de Três Passos”,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50</w:t>
      </w:r>
      <w:r>
        <w:rPr>
          <w:b/>
          <w:bCs/>
          <w:sz w:val="24"/>
          <w:szCs w:val="24"/>
          <w:u w:val="none"/>
        </w:rPr>
        <w:t>, DE 1</w:t>
      </w:r>
      <w:r>
        <w:rPr>
          <w:b/>
          <w:bCs/>
          <w:sz w:val="24"/>
          <w:szCs w:val="24"/>
          <w:u w:val="none"/>
        </w:rPr>
        <w:t>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ltera 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4.426, de 2010, que dispõe sobre 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novo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plano de carreira do Magistério Público Municipal de Três Passos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O inciso I do art. 29 da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4.426,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de 2010,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"Art. 29. O número de cargos da Carreira do Magistério Público Municipal será o seguinte: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I – Classe A – 170 cargos;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……………………………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demais artigos permanecem inalterados.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Application>LibreOffice/7.0.1.2$Windows_X86_64 LibreOffice_project/7cbcfc562f6eb6708b5ff7d7397325de9e764452</Application>
  <Pages>2</Pages>
  <Words>233</Words>
  <Characters>1127</Characters>
  <CharactersWithSpaces>1349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2022-05-11T08:57:14Z</cp:lastPrinted>
  <dcterms:modified xsi:type="dcterms:W3CDTF">2022-05-11T08:57:04Z</dcterms:modified>
  <cp:revision>523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