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orpodotexto"/>
        <w:jc w:val="center"/>
        <w:rPr>
          <w:rFonts w:ascii="Arial" w:hAnsi="Arial" w:eastAsia="Times New Roman" w:cs="Arial"/>
          <w:color w:val="000000"/>
          <w:sz w:val="40"/>
          <w:szCs w:val="40"/>
          <w:lang w:eastAsia="pt-BR"/>
        </w:rPr>
      </w:pPr>
      <w:r>
        <w:rPr>
          <w:rFonts w:eastAsia="Times New Roman" w:cs="Arial" w:ascii="Arial" w:hAnsi="Arial"/>
          <w:color w:val="000000"/>
          <w:sz w:val="40"/>
          <w:szCs w:val="40"/>
          <w:lang w:eastAsia="pt-BR"/>
        </w:rPr>
      </w:r>
      <w:bookmarkStart w:id="0" w:name="_GoBack"/>
      <w:bookmarkStart w:id="1" w:name="_GoBack"/>
      <w:bookmarkEnd w:id="1"/>
    </w:p>
    <w:p>
      <w:pPr>
        <w:pStyle w:val="Corpodotexto"/>
        <w:jc w:val="center"/>
        <w:rPr>
          <w:b/>
          <w:b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  <w:t xml:space="preserve"> </w:t>
      </w:r>
      <w:bookmarkStart w:id="2" w:name="docs-internal-guid-e613d330-7fff-0ab8-ef"/>
      <w:bookmarkEnd w:id="2"/>
      <w:r>
        <w:rPr>
          <w:rFonts w:eastAsia="Times New Roman" w:cs="Arial" w:ascii="Arial" w:hAnsi="Arial"/>
          <w:b/>
          <w:bCs/>
          <w:color w:val="000000"/>
          <w:lang w:val="pt-BR" w:eastAsia="pt-BR"/>
        </w:rPr>
        <w:t xml:space="preserve">MINUTA DE </w:t>
      </w:r>
      <w:r>
        <w:rPr>
          <w:rFonts w:eastAsia="Times New Roman" w:cs="Arial" w:ascii="Arial" w:hAnsi="Arial"/>
          <w:b/>
          <w:color w:val="000000"/>
          <w:lang w:eastAsia="pt-BR"/>
        </w:rPr>
        <w:t>TERMO DE FOMENTO</w:t>
      </w:r>
    </w:p>
    <w:p>
      <w:pPr>
        <w:pStyle w:val="Corpodotexto"/>
        <w:rPr/>
      </w:pPr>
      <w:r>
        <w:rPr/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color w:val="000000"/>
          <w:sz w:val="22"/>
        </w:rPr>
        <w:t xml:space="preserve">O </w:t>
      </w:r>
      <w:r>
        <w:rPr>
          <w:rFonts w:ascii="Arial" w:hAnsi="Arial"/>
          <w:b/>
          <w:color w:val="000000"/>
          <w:sz w:val="22"/>
          <w:u w:val="single"/>
        </w:rPr>
        <w:t>MUNICÍPIO DE TRÊS PASSOS</w:t>
      </w:r>
      <w:r>
        <w:rPr>
          <w:rFonts w:ascii="Arial" w:hAnsi="Arial"/>
          <w:color w:val="000000"/>
          <w:sz w:val="22"/>
        </w:rPr>
        <w:t xml:space="preserve">, pessoa jurídica de direito público inscrita no CNPJ sob o n. 87.613.188/0001-21, sediado na Avenida Santos Dumont n° 75, nesse ato representado por seu Prefeito Municipal em exercício, </w:t>
      </w:r>
      <w:r>
        <w:rPr>
          <w:rFonts w:ascii="Arial" w:hAnsi="Arial"/>
          <w:b/>
          <w:color w:val="000000"/>
          <w:sz w:val="22"/>
        </w:rPr>
        <w:t xml:space="preserve">Sr. </w:t>
      </w:r>
      <w:r>
        <w:rPr>
          <w:rFonts w:ascii="Arial" w:hAnsi="Arial"/>
          <w:b/>
          <w:color w:val="000000"/>
          <w:sz w:val="22"/>
          <w:lang w:val="pt-BR"/>
        </w:rPr>
        <w:t>ARLEI LUÍS TOMAZONI</w:t>
      </w:r>
      <w:r>
        <w:rPr>
          <w:rFonts w:ascii="Arial" w:hAnsi="Arial"/>
          <w:color w:val="000000"/>
          <w:sz w:val="22"/>
        </w:rPr>
        <w:t xml:space="preserve">, portador do CPF n. </w:t>
      </w:r>
      <w:r>
        <w:rPr/>
        <w:t>700.363.650-68</w:t>
      </w:r>
      <w:r>
        <w:rPr>
          <w:rFonts w:ascii="Arial" w:hAnsi="Arial"/>
          <w:color w:val="000000"/>
          <w:sz w:val="22"/>
        </w:rPr>
        <w:t xml:space="preserve">, residente e domiciliado nesta cidade de Três Passos - RS, no exercício de suas atribuições legais e regulamentares, doravante denominado Administração Pública e </w:t>
      </w:r>
      <w:r>
        <w:rPr>
          <w:rFonts w:ascii="Arial" w:hAnsi="Arial"/>
          <w:b/>
          <w:color w:val="000000"/>
          <w:sz w:val="22"/>
          <w:u w:val="single"/>
          <w:lang w:val="pt-BR"/>
        </w:rPr>
        <w:t>ASSOCIAÇÃO PROTETORA DOS ANIMAIS – ONG APSSOS</w:t>
      </w:r>
      <w:r>
        <w:rPr>
          <w:rFonts w:ascii="Arial" w:hAnsi="Arial"/>
          <w:b/>
          <w:color w:val="000000"/>
          <w:sz w:val="22"/>
        </w:rPr>
        <w:t xml:space="preserve">, </w:t>
      </w:r>
      <w:r>
        <w:rPr>
          <w:rFonts w:ascii="Arial" w:hAnsi="Arial"/>
          <w:color w:val="000000"/>
          <w:sz w:val="22"/>
        </w:rPr>
        <w:t xml:space="preserve">entidade civil sem fins lucrativos, entidade que exerce atividade </w:t>
      </w:r>
      <w:r>
        <w:rPr>
          <w:rFonts w:ascii="Arial" w:hAnsi="Arial"/>
          <w:color w:val="000000"/>
          <w:sz w:val="22"/>
          <w:lang w:val="pt-BR"/>
        </w:rPr>
        <w:t>ligada a ações que busquem a proteção e a defesa dos animais, devidamente registrada no</w:t>
      </w:r>
      <w:r>
        <w:rPr>
          <w:rFonts w:ascii="Arial" w:hAnsi="Arial"/>
          <w:color w:val="000000"/>
          <w:sz w:val="22"/>
        </w:rPr>
        <w:t xml:space="preserve"> CPNJ sob o nº </w:t>
      </w:r>
      <w:r>
        <w:rPr>
          <w:rFonts w:ascii="Arial" w:hAnsi="Arial"/>
          <w:color w:val="000000"/>
          <w:sz w:val="22"/>
          <w:lang w:val="pt-BR"/>
        </w:rPr>
        <w:t>12.581.083/0001-39</w:t>
      </w:r>
      <w:r>
        <w:rPr>
          <w:rFonts w:ascii="Arial" w:hAnsi="Arial"/>
          <w:color w:val="000000"/>
          <w:sz w:val="22"/>
        </w:rPr>
        <w:t xml:space="preserve">, </w:t>
      </w:r>
      <w:r>
        <w:rPr>
          <w:rFonts w:ascii="Arial" w:hAnsi="Arial"/>
          <w:color w:val="000000"/>
          <w:sz w:val="22"/>
          <w:lang w:val="pt-BR"/>
        </w:rPr>
        <w:t>situada na estrada Alta Molina</w:t>
      </w:r>
      <w:r>
        <w:rPr>
          <w:rFonts w:ascii="Arial" w:hAnsi="Arial"/>
          <w:color w:val="000000"/>
          <w:sz w:val="22"/>
        </w:rPr>
        <w:t>,</w:t>
      </w:r>
      <w:r>
        <w:rPr>
          <w:rFonts w:ascii="Arial" w:hAnsi="Arial"/>
          <w:color w:val="000000"/>
          <w:sz w:val="22"/>
          <w:lang w:val="pt-BR"/>
        </w:rPr>
        <w:t xml:space="preserve"> nº250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  <w:lang w:val="pt-BR"/>
        </w:rPr>
        <w:t>no Município</w:t>
      </w:r>
      <w:r>
        <w:rPr>
          <w:rFonts w:ascii="Arial" w:hAnsi="Arial"/>
          <w:color w:val="000000"/>
          <w:sz w:val="22"/>
        </w:rPr>
        <w:t xml:space="preserve"> de Três Passos/RS, neste ato representada pela Presidente </w:t>
      </w:r>
      <w:r>
        <w:rPr>
          <w:rFonts w:ascii="Arial" w:hAnsi="Arial"/>
          <w:b/>
          <w:color w:val="000000"/>
          <w:sz w:val="22"/>
        </w:rPr>
        <w:t xml:space="preserve">Sra. </w:t>
      </w:r>
      <w:r>
        <w:rPr>
          <w:rFonts w:ascii="Arial" w:hAnsi="Arial"/>
          <w:b/>
          <w:color w:val="000000"/>
          <w:sz w:val="22"/>
          <w:lang w:val="pt-BR"/>
        </w:rPr>
        <w:t>MARA LUCIA FERREIRA ELEGUIDA</w:t>
      </w:r>
      <w:r>
        <w:rPr>
          <w:rFonts w:ascii="Arial" w:hAnsi="Arial"/>
          <w:color w:val="000000"/>
          <w:sz w:val="22"/>
        </w:rPr>
        <w:t xml:space="preserve">, portadora do CPF nº </w:t>
      </w:r>
      <w:r>
        <w:rPr>
          <w:rFonts w:ascii="Arial" w:hAnsi="Arial"/>
          <w:color w:val="000000"/>
          <w:sz w:val="22"/>
          <w:lang w:val="pt-BR"/>
        </w:rPr>
        <w:t>430.760.920-49</w:t>
      </w:r>
      <w:r>
        <w:rPr>
          <w:rFonts w:ascii="Arial" w:hAnsi="Arial"/>
          <w:color w:val="000000"/>
          <w:sz w:val="22"/>
        </w:rPr>
        <w:t>, residente e domiciliada na cidade de Três Passos – RS, doravante denominada OSC, com fundamento na Lei Federal nº 13.019/2014, bem como nos princípios que regem a Administração Pública e demais normas pertinentes, celebram este Termo de Fomento, na forma e condições estabelecidas nas seguintes cláusulas:</w:t>
      </w:r>
    </w:p>
    <w:p>
      <w:pPr>
        <w:pStyle w:val="Corpodotexto"/>
        <w:rPr/>
      </w:pPr>
      <w:r>
        <w:rPr/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b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1. DO OBJETO 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  <w:lang w:val="pt-BR"/>
        </w:rPr>
      </w:pPr>
      <w:r>
        <w:rPr>
          <w:rFonts w:ascii="Arial" w:hAnsi="Arial"/>
          <w:b/>
          <w:color w:val="000000"/>
          <w:sz w:val="22"/>
        </w:rPr>
        <w:t>1.1.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O presente Termo de Fomento tem por objeto construção de alambrado para o Canil, colaborando na execução das atividades e na manutenção do trabalho que é realizado no local, posto que, a organização se dedica a preservação e proteção de animais vítimas de maus tratos e do abandono, adotando medidas para o controle de zoonoses e da superpopulação destes animais nas vias do município.</w:t>
      </w:r>
      <w:r>
        <w:rPr>
          <w:rFonts w:ascii="Arial" w:hAnsi="Arial"/>
          <w:color w:val="000000"/>
          <w:sz w:val="22"/>
          <w:lang w:val="pt-BR"/>
        </w:rPr>
        <w:t xml:space="preserve"> Conforme indicação de emenda impositiva na LOA 2022 (Lei Municipal nº5.691/2021).</w:t>
      </w:r>
    </w:p>
    <w:p>
      <w:pPr>
        <w:pStyle w:val="Corpodotexto"/>
        <w:rPr/>
      </w:pPr>
      <w:r>
        <w:rPr/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b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2. DA TRANSFERÊNCIA FINANCEIRA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2.1.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A Administração Pública repassará a OSC o valor de R$ </w:t>
      </w:r>
      <w:r>
        <w:rPr>
          <w:rFonts w:ascii="Arial" w:hAnsi="Arial"/>
          <w:color w:val="000000"/>
          <w:sz w:val="22"/>
          <w:lang w:val="pt-BR"/>
        </w:rPr>
        <w:t>56.183,07</w:t>
      </w:r>
      <w:r>
        <w:rPr>
          <w:rFonts w:ascii="Arial" w:hAnsi="Arial"/>
          <w:color w:val="000000"/>
          <w:sz w:val="22"/>
        </w:rPr>
        <w:t xml:space="preserve"> (</w:t>
      </w:r>
      <w:r>
        <w:rPr>
          <w:rFonts w:ascii="Arial" w:hAnsi="Arial"/>
          <w:color w:val="000000"/>
          <w:sz w:val="22"/>
          <w:lang w:val="pt-BR"/>
        </w:rPr>
        <w:t>cinquenta e seis mil, cento e oitenta e três reais e sete centavos</w:t>
      </w:r>
      <w:r>
        <w:rPr>
          <w:rFonts w:ascii="Arial" w:hAnsi="Arial"/>
          <w:color w:val="000000"/>
          <w:sz w:val="22"/>
        </w:rPr>
        <w:t>), conforme cronograma de desembolso, constante no Plano de Trabalho anexo a este Termo de Fomento.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 xml:space="preserve">2.2. </w:t>
      </w:r>
      <w:r>
        <w:rPr>
          <w:rFonts w:ascii="Arial" w:hAnsi="Arial"/>
          <w:sz w:val="22"/>
        </w:rPr>
        <w:t xml:space="preserve">Para o exercício financeiro de 2022, fica estimado o repasse de R$ </w:t>
      </w:r>
      <w:r>
        <w:rPr>
          <w:rFonts w:ascii="Arial" w:hAnsi="Arial"/>
          <w:sz w:val="22"/>
          <w:lang w:val="pt-BR"/>
        </w:rPr>
        <w:t>56.183,07</w:t>
      </w:r>
      <w:r>
        <w:rPr>
          <w:rFonts w:ascii="Arial" w:hAnsi="Arial"/>
          <w:sz w:val="22"/>
        </w:rPr>
        <w:t xml:space="preserve"> (</w:t>
      </w:r>
      <w:r>
        <w:rPr>
          <w:rFonts w:ascii="Arial" w:hAnsi="Arial"/>
          <w:sz w:val="22"/>
          <w:lang w:val="pt-BR"/>
        </w:rPr>
        <w:t>cinquenta e seis mil, cento e oitenta e três reais e sete centavos</w:t>
      </w:r>
      <w:r>
        <w:rPr>
          <w:rFonts w:ascii="Arial" w:hAnsi="Arial"/>
          <w:sz w:val="22"/>
        </w:rPr>
        <w:t>), correndo as despesas à conta da dotação orçamentária 744 - 4.4.50.42.00.00.00.00 - AUXÍLIOS.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2.3.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Em caso de celebração de aditivos, deverão ser indicados nos mesmos, os créditos e empenhos para cobertura de cada parcela da despesa a ser transferida.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2.4.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Na ocorrência de cancelamento de Restos a Pagar, o quantitativo poderá ser reduzido até a etapa que apresente funcionalidade, mediante aprovação prévia da Administração Pública.</w:t>
      </w:r>
    </w:p>
    <w:p>
      <w:pPr>
        <w:pStyle w:val="Corpodotexto"/>
        <w:rPr/>
      </w:pPr>
      <w:r>
        <w:rPr/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b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3. DA CONTRAPARTIDA DA OSC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3.1.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A OSC contribuirá para a execução do objeto desta parceria com contrapartida consistente em:</w:t>
      </w:r>
    </w:p>
    <w:p>
      <w:pPr>
        <w:pStyle w:val="Corpodotexto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0"/>
        <w:ind w:left="1274" w:hanging="283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  <w:lang w:val="pt-BR"/>
        </w:rPr>
        <w:t>Integralização do valor total da obra no valor de R$ 3.016,93 (três mil, dezesseis reais e noventa e três centavos), conforme Plano de Trabalho.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4. DAS OBRIGAÇÕES DAS PARTES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4.1.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Compete à Administração Pública: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- Transferir os recursos à OSC de acordo com o Cronograma de Desembolso, em anexo, que faz parte integrante deste Termo de Fomento e no valor nele fixado;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- Fiscalizar a execução do Termo de Fomento, o que não fará cessar ou diminuir a responsabilidade da OSC pelo perfeito cumprimento das obrigações estipuladas, nem por quais danos, inclusive quanto a terceiros, ou por irregularidades constatadas;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III -Comunicar formalmente à OSC qualquer irregularidade encontrada na execução das ações, fixando-lhe, quando não pactuado nesse Termo de Fomento prazo para corrigi-la;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IV - Receber, apurar e solucionar eventuais queixas e reclamações, cientificando a OSC para as devidas regularizações;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V-Constatadas quaisquer irregularidades no cumprimento do objeto desta Parceria, a Administração Pública poderá ordenar a suspensão dos serviços, sem prejuízo das penalidades a que se sujeita a OSC, e sem que esta tenha direito a qualquer indenização no caso daquelas não serem regularizadas dentro do prazo estabelecido no termo da notificação;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VI - Aplicar as penalidades regulamentadas neste Termo de Fomento;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VII - Fiscalizar periodicamente os contratos de trabalho que assegurem os direitos trabalhistas, sociais e previdenciários dos trabalhadores e prestadores de serviços da OSC;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VIII - Apreciar a prestação de contas final apresentada, no prazo de até cento e cinquenta dias, contado da data de seu recebimento ou do cumprimento de diligência por ela determinada, prorrogável justificadamente por igual período; e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IX – Publicar, às suas expensas, o extrato deste Termo de Fomento na imprensa oficial do Município.</w:t>
      </w:r>
    </w:p>
    <w:p>
      <w:pPr>
        <w:pStyle w:val="Corpodotexto"/>
        <w:rPr/>
      </w:pPr>
      <w:r>
        <w:rPr/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4.2.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Compete à OSC: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– Utilizar os valores recebidos de acordo com o Plano de Trabalho aprovado pela Administração Pública, observadas as disposições deste Termo de Fomento relativas à aplicação dos recursos;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- Responder exclusivamente pelo pagamento dos encargos trabalhistas, previdenciários, fiscais e comerciais relativos ao funcionamento da instituição e ao adimplemento deste Termo de Fomento, não se caracterizando responsabilidade solidária ou subsidiária da Administração Pública pelos respectivos pagamentos, nem qualquer oneração do objeto da parceria ou restrição à sua execução;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III - Prestar contas dos recursos recebidos nos termos da Lei Federal nº 13.019/2014, nos prazos estabelecidos neste instrumento;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IV - Indicar ao menos 1 (um) dirigente que se responsabilizará, de forma solidária, pela execução das atividades e cumprimento das metas pactuadas na parceria;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 – Executar as ações objeto desta parceria com qualidade, atendendo o público de modo gratuito, universal e igualitário;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VI - Manter em perfeitas condições de uso os equipamentos e os instrumentos necessários para a realização dos serviços e ações pactuadas, através da implantação de manutenção preventiva e corretiva predial e de todos os instrumentais e equipamentos;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VII - Responder, com exclusividade, pela capacidade e orientações técnicas de toda a mão de obra necessária à fiel e perfeita execução desse Termo de Fomento;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VIII - Manter contrato de trabalho que assegure direitos trabalhistas, sociais e previdenciários aos seus trabalhadores e prestadores de serviços;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IX - Responsabilizar-se, com os recursos provenientes do Termo Fomento, pela indenização de dano causado ao público, decorrentes de ação ou omissão voluntária, ou de negligência, imperícia ou imprudência, praticados por seus empregados;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X - Responsabilizar-se por cobrança indevida feita ao público, por profissional empregado ou preposto, em razão da execução desse Termo de Fomento;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XI - Responsabilizar pelo espaço físico, equipamentos e mobiliários necessários ao desenvolvimento das ações objeto desta parceria;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XII - Disponibilizar documentos dos profissionais que compõe a equipe técnica, tais como: diplomas dos profissionais, registro junto aos respectivos conselhos e contrato de trabalho;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XIII – Garantir o livre acesso dos agentes públicos, em especial aos designados para a comissão de monitoramento e avaliação, ao gestor da parceria, do controle interno e do Tribunal de Contas relativamente aos processos, aos documentos e às informações referentes a este Termo de Fomento, bem como aos locais de execução do objeto;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XIV – Aplicar os recursos recebidos e eventuais saldo saldos financeiros enquanto não utilizados, obrigatoriamente, em instituição financeira oficial indicada pela Administração Pública, assim como as receitas decorrentes, que serão obrigatoriamente computadas a crédito deste Termo de Fomento e aplicadas, exclusivamente, no objeto de sua finalidade, devendo constar de demonstrativo específico que integrará as prestações de contas; e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XV – Restituir à Administração Pública os recursos recebidos quando a prestação de contas for avaliada como irregular, depois de exaurida a fase recursal, se mantida a decisão, caso em que a OSC poderá solicitar autorização para que o ressarcimento ao erário seja promovido por meio de ações compensatórias de interesse público, mediante a apresentação de novo plano de trabalho, conforme o objeto descrito no neste Termo de Fomento e a área de atuação da organização, cuja mensuração econômica será feita a partir do plano de trabalho original, desde que não tenha havido dolo ou fraude e não seja o caso de restituição integral dos recursos;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XVI– a responsabilidade exclusiva pelo gerenciamento administrativo e financeiro dos recursos recebidos, inclusive no que diz respeito às despesas de custeio, de investimento e de pessoal.</w:t>
      </w:r>
    </w:p>
    <w:p>
      <w:pPr>
        <w:pStyle w:val="Corpodotexto"/>
        <w:rPr/>
      </w:pPr>
      <w:r>
        <w:rPr/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4.2.1.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Caso a OSC adquira equipamentos e materiais permanentes com recursos provenientes da celebração da parceria, estes permanecerão na sua titularidade ao término do prazo deste Termo de Fomento, obrigando-se a OSC agravá-lo com cláusula de inalienabilidade, devendo realizar a transferência da propriedade dos mesmos à Administração Pública, na hipótese de sua extinção.</w:t>
      </w:r>
    </w:p>
    <w:p>
      <w:pPr>
        <w:pStyle w:val="Corpodotexto"/>
        <w:rPr/>
      </w:pPr>
      <w:r>
        <w:rPr/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b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5. DA APLICAÇÃO DOS RECURSOS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5.1.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O Plano de Trabalho deverá ser executado com estrita observância das cláusulas pactuadas neste Termo de Fomento, sendo vedado: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- pagar, a qualquer título, servidor ou empregado público com recursos vinculados à parceria;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- modificar o objeto, exceto no caso de ampliação de metas, desde que seja previamente aprovada a adequação do plano de trabalho pela Administração Pública;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III - utilizar, ainda que em caráter emergencial, recursos para finalidade diversa da estabelecida no plano de trabalho;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IV - pagar despesa realizada em data anterior à vigência da parceria;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 - efetuar pagamento em data posterior à vigência da parceria, salvo quando o fato gerador da despesa tiver ocorrido durante sua vigência;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VI - realizar despesas com: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a) multas, juros ou correção monetária, inclusive referentes a pagamentos ou a recolhimentos fora dos prazos, salvo se decorrentes de atrasos da Administração Pública na liberação de recursos financeiros;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b) publicidade, salvo as previstas no plano de trabalho e diretamente vinculadas ao objeto da parceria, de caráter educativo, informativo ou de orientação social, das quais não constem nomes, símbolos ou imagens que caracterizem promoção pessoal; e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c) pagamento de pessoal contratado pela OSC que não atendam às exigências do art. 46 da Lei Federal nº 13.019/2014.</w:t>
      </w:r>
    </w:p>
    <w:p>
      <w:pPr>
        <w:pStyle w:val="Corpodotexto"/>
        <w:spacing w:before="0" w:after="20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 xml:space="preserve">5.2. </w:t>
      </w:r>
      <w:r>
        <w:rPr>
          <w:rFonts w:ascii="Arial" w:hAnsi="Arial"/>
          <w:color w:val="000000"/>
          <w:sz w:val="22"/>
        </w:rPr>
        <w:t>Os recursos recebidos em decorrência da parceria deverão ser depositados em conta corrente específica na instituição financeira pública determinada pela Administração Pública.</w:t>
      </w:r>
    </w:p>
    <w:p>
      <w:pPr>
        <w:pStyle w:val="Corpodotexto"/>
        <w:spacing w:before="0" w:after="20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 xml:space="preserve">5.3. </w:t>
      </w:r>
      <w:r>
        <w:rPr>
          <w:rFonts w:ascii="Arial" w:hAnsi="Arial"/>
          <w:color w:val="000000"/>
          <w:sz w:val="22"/>
        </w:rPr>
        <w:t>Os rendimentos de ativos financeiros serão aplicados no objeto da parceria, estando sujeitos às mesmas condições de prestação de contas exigidas para os recursos transferidos.</w:t>
      </w:r>
    </w:p>
    <w:p>
      <w:pPr>
        <w:pStyle w:val="Corpodotexto"/>
        <w:spacing w:before="0" w:after="20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 xml:space="preserve">5.4. </w:t>
      </w:r>
      <w:r>
        <w:rPr>
          <w:rFonts w:ascii="Arial" w:hAnsi="Arial"/>
          <w:color w:val="000000"/>
          <w:sz w:val="22"/>
        </w:rPr>
        <w:t>Por ocasião da conclusão, denúncia, rescisão ou extinção da parceria, os saldos financeiros remanescentes, inclusive os provenientes das receitas obtidas das aplicações financeiras realizadas, serão devolvidos à Administração Pública no prazo improrrogável de 30 (trinta) dias, sob pena de imediata instauração de tomada de contas especial do responsável, providenciada pela autoridade competente da Administração Pública.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5.5. </w:t>
      </w:r>
      <w:r>
        <w:rPr>
          <w:rFonts w:ascii="Arial" w:hAnsi="Arial"/>
          <w:color w:val="000000"/>
          <w:sz w:val="22"/>
        </w:rPr>
        <w:t>Toda a movimentação de recursos no âmbito da parceria será realizada mediante transferência eletrônica sujeita à identificação do beneficiário final e à obrigatoriedade de depósito em sua conta bancária.</w:t>
      </w:r>
    </w:p>
    <w:p>
      <w:pPr>
        <w:pStyle w:val="Lista"/>
        <w:rPr>
          <w:lang w:val="x-none" w:bidi="ar-SA"/>
        </w:rPr>
      </w:pPr>
      <w:r>
        <w:rPr>
          <w:lang w:val="x-none" w:bidi="ar-SA"/>
        </w:rPr>
      </w:r>
    </w:p>
    <w:p>
      <w:pPr>
        <w:pStyle w:val="Corpodotexto"/>
        <w:spacing w:before="0" w:after="20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5.6.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Os pagamentos deverão ser realizados mediante crédito na conta bancária de titularidade dos fornecedores e prestadores de serviços, excedo se demonstrada a impossibilidade física de pagamento mediante transferência eletrônica, caso em que se admitirá a realização de pagamentos em espécie. </w:t>
      </w:r>
    </w:p>
    <w:p>
      <w:pPr>
        <w:pStyle w:val="Corpodotexto"/>
        <w:rPr/>
      </w:pPr>
      <w:r>
        <w:rPr/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b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6. DA PRESTAÇÃO DE CONTAS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6.1</w:t>
      </w:r>
      <w:r>
        <w:rPr>
          <w:rFonts w:ascii="Arial" w:hAnsi="Arial"/>
          <w:color w:val="000000"/>
          <w:sz w:val="22"/>
        </w:rPr>
        <w:t>. A prestação de contas deverá ser efetuada</w:t>
      </w:r>
      <w:r>
        <w:rPr>
          <w:rFonts w:ascii="Arial" w:hAnsi="Arial"/>
          <w:color w:val="000000"/>
          <w:sz w:val="22"/>
          <w:lang w:val="pt-BR"/>
        </w:rPr>
        <w:t xml:space="preserve"> em </w:t>
      </w:r>
      <w:r>
        <w:rPr>
          <w:rFonts w:ascii="Arial" w:hAnsi="Arial"/>
          <w:color w:val="000000"/>
          <w:sz w:val="22"/>
        </w:rPr>
        <w:t xml:space="preserve">até </w:t>
      </w:r>
      <w:r>
        <w:rPr>
          <w:rFonts w:ascii="Arial" w:hAnsi="Arial"/>
          <w:sz w:val="22"/>
          <w:lang w:val="pt-BR"/>
        </w:rPr>
        <w:t>30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(</w:t>
      </w:r>
      <w:r>
        <w:rPr>
          <w:rFonts w:ascii="Arial" w:hAnsi="Arial"/>
          <w:color w:val="000000"/>
          <w:sz w:val="22"/>
          <w:lang w:val="pt-BR"/>
        </w:rPr>
        <w:t>trinta</w:t>
      </w:r>
      <w:r>
        <w:rPr>
          <w:rFonts w:ascii="Arial" w:hAnsi="Arial"/>
          <w:color w:val="000000"/>
          <w:sz w:val="22"/>
        </w:rPr>
        <w:t>) dias após</w:t>
      </w:r>
      <w:r>
        <w:rPr>
          <w:rFonts w:ascii="Arial" w:hAnsi="Arial"/>
          <w:color w:val="000000"/>
          <w:sz w:val="22"/>
          <w:lang w:val="pt-BR"/>
        </w:rPr>
        <w:t xml:space="preserve"> a execução do objeto</w:t>
      </w:r>
      <w:r>
        <w:rPr>
          <w:rFonts w:ascii="Arial" w:hAnsi="Arial"/>
          <w:color w:val="000000"/>
          <w:sz w:val="22"/>
        </w:rPr>
        <w:t>;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6.2.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A prestação de contas final dos recursos recebidos, deverá ser apresentada com os seguintes relatórios: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- Relatório de Execução do Objeto, assinado pelo seu representante legal, contendo as atividades desenvolvidas para o cumprimento do objeto e o comparativo de metas propostas com os resultados alcançados, a partir do cronograma acordado, anexando- se documentos de comprovação da realização das ações;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- Relatório de Execução Financeira, assinado pelo seu representante legal, com a descrição das despesas e receitas efetivamente realizadas;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III - Original ou copias reprográficas dos comprovantes da despesa devidamente autenticadas em cartório ou por servidor da administração, devendo ser devolvidos os originais após autenticação das cópias;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IV - Extrato bancário de conta específica e/ou de aplicação financeira, no qual deverá estar evidenciado o ingresso e a saída dos recursos, devidamente acompanhado da Conciliação Bancária, quando for o caso;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 - Demonstrativo de Execução de Receita e Despesa, devidamente acompanhado dos comprovantes das despesas realizadas e assinado pelo dirigente e responsável financeiro da OSC;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VI - Comprovante, quando houver, de devolução de saldo remanescente em até 10 (dez) dias após o término da vigência deste Termo de Fomento;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VII - Relatório circunstanciado das atividades desenvolvidas pela OSC no exercício e das metas alcançadas.</w:t>
      </w:r>
    </w:p>
    <w:p>
      <w:pPr>
        <w:pStyle w:val="Corpodotexto"/>
        <w:rPr/>
      </w:pPr>
      <w:r>
        <w:rPr/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b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7. DO PRAZO DE VIGÊNCIA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7.1.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 xml:space="preserve">O presente Termo de Fomento vigorará a partir da data de sua assinatura </w:t>
      </w:r>
      <w:r>
        <w:rPr>
          <w:rFonts w:ascii="Arial" w:hAnsi="Arial"/>
          <w:color w:val="000000"/>
          <w:sz w:val="22"/>
          <w:lang w:val="pt-BR"/>
        </w:rPr>
        <w:t>até 31/12/2022</w:t>
      </w:r>
      <w:r>
        <w:rPr>
          <w:rFonts w:ascii="Arial" w:hAnsi="Arial"/>
          <w:color w:val="000000"/>
          <w:sz w:val="22"/>
        </w:rPr>
        <w:t>, podendo ser prorrogado mediante solicitação da organização da sociedade civil, devidamente formalizada e justificada, a ser apresentada à Administração Pública em, no mínimo, trinta dias antes do termo inicialmente previsto.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 xml:space="preserve">7.2. </w:t>
      </w:r>
      <w:r>
        <w:rPr>
          <w:rFonts w:ascii="Arial" w:hAnsi="Arial"/>
          <w:color w:val="000000"/>
          <w:sz w:val="22"/>
        </w:rPr>
        <w:t>A prorrogação de ofício da vigência deste Termo de Fomento será feita pela Administração Pública quando ela der causa a atraso na liberação de recursos financeiros, limitada ao exato período do atraso verificado.</w:t>
      </w:r>
    </w:p>
    <w:p>
      <w:pPr>
        <w:pStyle w:val="Corpodotexto"/>
        <w:rPr/>
      </w:pPr>
      <w:r>
        <w:rPr/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b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8. DAS ALTERAÇÕES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8.1.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Este Termo de Fomento poderá ser alterado, exceto quanto ao seu objeto, mediante a celebração de Termos Aditivos,</w:t>
      </w:r>
      <w:r>
        <w:rPr>
          <w:rFonts w:ascii="Arial" w:hAnsi="Arial"/>
          <w:color w:val="000000"/>
          <w:sz w:val="22"/>
          <w:lang w:val="pt-BR"/>
        </w:rPr>
        <w:t xml:space="preserve"> até o limite de 60 meses,</w:t>
      </w:r>
      <w:r>
        <w:rPr>
          <w:rFonts w:ascii="Arial" w:hAnsi="Arial"/>
          <w:color w:val="000000"/>
          <w:sz w:val="22"/>
        </w:rPr>
        <w:t xml:space="preserve"> desde que acordados entre os parceiros e firmados antes do término de sua vigência.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 xml:space="preserve">8.2. </w:t>
      </w:r>
      <w:r>
        <w:rPr>
          <w:rFonts w:ascii="Arial" w:hAnsi="Arial"/>
          <w:color w:val="000000"/>
          <w:sz w:val="22"/>
        </w:rPr>
        <w:t>O plano de trabalho da parceria poderá ser revisto para alteração de valores ou de metas, mediante termo aditivo ao plano de trabalho original.</w:t>
      </w:r>
    </w:p>
    <w:p>
      <w:pPr>
        <w:pStyle w:val="Corpodotexto"/>
        <w:rPr/>
      </w:pPr>
      <w:r>
        <w:rPr/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b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9. DO ACOMPANHAMENTO, CONTROLE E FISCALIZAÇÃO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 xml:space="preserve">9.1. </w:t>
      </w:r>
      <w:r>
        <w:rPr>
          <w:rFonts w:ascii="Arial" w:hAnsi="Arial"/>
          <w:color w:val="000000"/>
          <w:sz w:val="22"/>
        </w:rPr>
        <w:t>A Administração Pública promoverá o monitoramento e a avaliação do cumprimento do objeto da parceria, podendo valer-se do apoio técnico de terceiros, delegar competência ou firmar parcerias com órgãos ou entidades públicas.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9.2.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A Administração Pública acompanhará a execução do objeto deste Termo de Fomento através de seu gestor, que tem por obrigações: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- Acompanhar e fiscalizar a execução da parceria;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- Informar ao seu superior hierárquico a existência de fatos que comprometam ou possam comprometer as atividades ou metas da parceria e de indícios de irregularidades na gestão dos recursos, bem como as providências adotadas ou que serão adotadas para sanar os problemas detectados;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III - Emitir parecer conclusivo de análise da prestação de contas mensal e final, com base no relatório técnico de monitoramento e avaliação de que trata o art. 59 da Lei Federal nº 13.019/2014;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IV - Disponibilizar materiais e equipamentos tecnológicos necessários às atividades de monitoramento e avaliação.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9.3.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A execução também será acompanhada por Comissão de Monitoramento e Avaliação, especialmente designada.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9.4.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A Administração Pública emitirá relatório técnico de monitoramento e avaliação da parceria e o submeterá à Comissão de Monitoramento e Avaliação designada, que o homologará, independentemente da obrigatoriedade de apresentação da prestação de contas pela OSC.</w:t>
      </w:r>
    </w:p>
    <w:p>
      <w:pPr>
        <w:pStyle w:val="Corpodotexto"/>
        <w:spacing w:before="0" w:after="0"/>
        <w:ind w:firstLine="567"/>
        <w:jc w:val="both"/>
        <w:rPr/>
      </w:pPr>
      <w:r>
        <w:rPr>
          <w:color w:val="000000"/>
        </w:rPr>
        <w:t> </w:t>
      </w:r>
      <w:r>
        <w:rPr>
          <w:rFonts w:ascii="Arial" w:hAnsi="Arial"/>
          <w:b/>
          <w:color w:val="000000"/>
          <w:sz w:val="22"/>
        </w:rPr>
        <w:t>9.5.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O relatório técnico de monitoramento e avaliação da parceria, sem prejuízo de outros elementos, conterá: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- descrição sumária das atividades e metas estabelecidas;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- análise das atividades realizadas, do cumprimento das metas e do impacto do benefício social obtido em razão da execução do objeto até o período, com base nos indicadores estabelecidos e aprovados no plano de trabalho;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III - valores efetivamente transferidos pela Administração Pública;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IV - análise dos documentos comprobatórios das despesas apresentados pela OSC na prestação de contas, quando não for comprovado o alcance das metas e resultados estabelecidos neste Termo de Fomento.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VI - análise de eventuais auditorias realizadas pelos controles interno e externo, no âmbito da fiscalização preventiva, bem como de suas conclusões e das medidas que tomaram em decorrência dessas auditorias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9.6.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No exercício de suas atribuições o gestor e os integrantes da Comissão de Monitoramento e Avaliação poderão realizar visita in loco, da qual será emitido relatório.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9.7.</w:t>
      </w:r>
      <w:r>
        <w:rPr>
          <w:rFonts w:ascii="Arial" w:hAnsi="Arial"/>
          <w:color w:val="000000"/>
          <w:sz w:val="22"/>
        </w:rPr>
        <w:t>Sem prejuízo da fiscalização pela Administração Pública e pelos órgãos de controle, a execução da parceria será acompanhada e fiscalizada pelo conselho de política pública correspondente.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 xml:space="preserve">9.8. </w:t>
      </w:r>
      <w:r>
        <w:rPr>
          <w:rFonts w:ascii="Arial" w:hAnsi="Arial"/>
          <w:color w:val="000000"/>
          <w:sz w:val="22"/>
        </w:rPr>
        <w:t>Comprovada a paralisação ou ocorrência de fato relevante, que possa colocar em risco a execução do plano de trabalho, a Administração Pública tem a prerrogativa de assumir ou transferir a responsabilidade pela execução do objeto, de forma a evitar sua descontinuidade.</w:t>
      </w:r>
    </w:p>
    <w:p>
      <w:pPr>
        <w:pStyle w:val="Corpodotexto"/>
        <w:rPr/>
      </w:pPr>
      <w:r>
        <w:rPr/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b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10. DA RESCISÃO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10.1.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É facultado aos parceiros rescindir este Termo de Fomento, devendo comunicar essa intenção no prazo mínimo de 60 (sessenta) dias de antecedência, sendo-lhes imputadas as responsabilidades das obrigações e creditados os benefícios no período em que este tenha vigido.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10.2.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A Administração poderá rescindir unilateralmente este Termo de Fomento quando da constatação das seguintes situações: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- Utilização dos recursos em desacordo com o Plano de Trabalho aprovado;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- Retardamento injustificado na realização da execução do objeto deste Termo de Fomento;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III - Descumprimento de cláusula constante deste Termo de Fomento.</w:t>
      </w:r>
    </w:p>
    <w:p>
      <w:pPr>
        <w:pStyle w:val="Corpodotexto"/>
        <w:rPr/>
      </w:pPr>
      <w:r>
        <w:rPr/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b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11. DA RESPONSABILIZAÇÃO E DAS SANÇÕES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11.1.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O presente Termo de Fomento deverá ser executado fielmente pelos parceiros, de acordo com as cláusulas pactuadas e a legislação pertinente, respondendo cada um pelas consequências de sua inexecução total ou parcial.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11.2.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Pela execução da parceria em desacordo com o plano de trabalho, a Administração poderá, garantida a prévia defesa, aplicar à OSC da sociedade civil as seguintes sanções: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– advertência quando a OSC praticar pequenas irregularidades;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- suspensão temporária da participação em chamamento público e impedimento de celebrar parceria ou contrato com órgãos e OSCs da esfera de governo da Administração Pública sancionadora, pelo prazo de doze meses, no caso de descumprimento reiterado de previsões contidas no Termo de Fomento;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III - declaração de inidoneidade para participar de chamamento público ou celebrar parceria ou contrato com órgãos e OSCs de todas as esferas de governo, enquanto perdurarem os motivos determinantes da punição ou até que seja promovida a reabilitação perante a própria autoridade que aplicou a penalidade, que será concedida sempre que a OSC ressarcir a Administração Pública pelos prejuízos resultantes e depois de decorrido o prazo da sanção aplicada com base no inciso II, quando julgada improcedente a prestação de contas.</w:t>
      </w:r>
    </w:p>
    <w:p>
      <w:pPr>
        <w:pStyle w:val="Corpodotexto"/>
        <w:rPr/>
      </w:pPr>
      <w:r>
        <w:rPr/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b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12. DO FORO E DA SOLUÇÃO ADMINISTRATIVA DE CONFLITOS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12.1.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O foro da Comarca de Três Passos/RS é o eleito pelos parceiros para dirimir quaisquer dúvidas oriundas do presente Termo de Fomento.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12.2.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Antes de promover a ação judicial competente, as partes, obrigatoriamente, farão tratativas para prévia tentativa de solução administrativa. Referidas tratativas serão realizadas em reunião, com a participação da Procuradoria/Assessoria do Município, da qual será lavrada ata, ou por meio de documentos expressos, sobre os quais se manifestará a Procuradoria/Assessoria do Município.</w:t>
      </w:r>
    </w:p>
    <w:p>
      <w:pPr>
        <w:pStyle w:val="Corpodotexto"/>
        <w:rPr/>
      </w:pPr>
      <w:r>
        <w:rPr/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b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13. DISPOSIÇÕES GERAIS</w:t>
      </w:r>
    </w:p>
    <w:p>
      <w:pPr>
        <w:pStyle w:val="Corpodotexto"/>
        <w:spacing w:before="0" w:after="0"/>
        <w:ind w:firstLine="567"/>
        <w:jc w:val="both"/>
        <w:rPr/>
      </w:pPr>
      <w:r>
        <w:rPr>
          <w:rFonts w:ascii="Arial" w:hAnsi="Arial"/>
          <w:b/>
          <w:color w:val="000000"/>
          <w:sz w:val="22"/>
        </w:rPr>
        <w:t>13.1.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Faz parte integrante e indissociável deste Termo de Fomento o plano de trabalho anexo.</w:t>
      </w:r>
    </w:p>
    <w:p>
      <w:pPr>
        <w:pStyle w:val="Corpodotexto"/>
        <w:spacing w:before="0" w:after="0"/>
        <w:ind w:firstLine="567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E, por estarem acordes, firmam os parceiros o presente Termo de Fomento, em 02 (duas) vias de igual teor e forma, para todos os efeitos legais.</w:t>
      </w:r>
    </w:p>
    <w:p>
      <w:pPr>
        <w:pStyle w:val="Corpodotexto"/>
        <w:rPr/>
      </w:pPr>
      <w:r>
        <w:rPr/>
      </w:r>
    </w:p>
    <w:p>
      <w:pPr>
        <w:pStyle w:val="Corpodotexto"/>
        <w:spacing w:before="0" w:after="0"/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Município de Três Passos, XX de </w:t>
      </w:r>
      <w:r>
        <w:rPr>
          <w:rFonts w:ascii="Arial" w:hAnsi="Arial"/>
          <w:color w:val="000000"/>
          <w:sz w:val="22"/>
          <w:lang w:val="pt-BR"/>
        </w:rPr>
        <w:t>XXXX</w:t>
      </w:r>
      <w:r>
        <w:rPr>
          <w:rFonts w:ascii="Arial" w:hAnsi="Arial"/>
          <w:color w:val="000000"/>
          <w:sz w:val="22"/>
        </w:rPr>
        <w:t xml:space="preserve"> de 20</w:t>
      </w:r>
      <w:r>
        <w:rPr>
          <w:rFonts w:ascii="Arial" w:hAnsi="Arial"/>
          <w:color w:val="000000"/>
          <w:sz w:val="22"/>
          <w:lang w:val="pt-BR"/>
        </w:rPr>
        <w:t>22</w:t>
      </w:r>
      <w:r>
        <w:rPr>
          <w:rFonts w:ascii="Arial" w:hAnsi="Arial"/>
          <w:color w:val="000000"/>
          <w:sz w:val="22"/>
        </w:rPr>
        <w:t>.</w:t>
      </w:r>
    </w:p>
    <w:p>
      <w:pPr>
        <w:pStyle w:val="Corpodotexto"/>
        <w:rPr/>
      </w:pPr>
      <w:r>
        <w:rPr/>
      </w:r>
    </w:p>
    <w:p>
      <w:pPr>
        <w:pStyle w:val="Corpodotexto"/>
        <w:spacing w:before="0" w:after="0"/>
        <w:jc w:val="center"/>
        <w:rPr>
          <w:rFonts w:ascii="Arial" w:hAnsi="Arial"/>
          <w:b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MUNICÍPIO DE TRÊS PASSOS</w:t>
      </w:r>
    </w:p>
    <w:p>
      <w:pPr>
        <w:pStyle w:val="Corpodotexto"/>
        <w:spacing w:before="0" w:after="0"/>
        <w:jc w:val="center"/>
        <w:rPr>
          <w:rFonts w:ascii="Arial" w:hAnsi="Arial"/>
          <w:b/>
          <w:b/>
          <w:color w:val="000000"/>
          <w:sz w:val="22"/>
          <w:lang w:val="pt-BR"/>
        </w:rPr>
      </w:pPr>
      <w:r>
        <w:rPr>
          <w:rFonts w:ascii="Arial" w:hAnsi="Arial"/>
          <w:b/>
          <w:color w:val="000000"/>
          <w:sz w:val="22"/>
          <w:lang w:val="pt-BR"/>
        </w:rPr>
        <w:t>ARLEI LUÍS TOMAZONI</w:t>
      </w:r>
    </w:p>
    <w:p>
      <w:pPr>
        <w:pStyle w:val="Corpodotexto"/>
        <w:rPr/>
      </w:pPr>
      <w:r>
        <w:rPr/>
        <w:br/>
        <w:br/>
        <w:br/>
      </w:r>
    </w:p>
    <w:p>
      <w:pPr>
        <w:pStyle w:val="Corpodotexto"/>
        <w:spacing w:before="0" w:after="0"/>
        <w:jc w:val="center"/>
        <w:rPr>
          <w:rFonts w:ascii="Arial" w:hAnsi="Arial"/>
          <w:b/>
          <w:b/>
          <w:color w:val="000000"/>
          <w:sz w:val="22"/>
          <w:lang w:val="pt-BR"/>
        </w:rPr>
      </w:pPr>
      <w:r>
        <w:rPr>
          <w:rFonts w:ascii="Arial" w:hAnsi="Arial"/>
          <w:b/>
          <w:color w:val="000000"/>
          <w:sz w:val="22"/>
          <w:lang w:val="pt-BR"/>
        </w:rPr>
        <w:t>ASSOCIAÇÃO PROTETORA DOS ANIMAIS DE TRÊS PASSOS</w:t>
      </w:r>
    </w:p>
    <w:p>
      <w:pPr>
        <w:pStyle w:val="Corpodotexto"/>
        <w:spacing w:before="0" w:after="0"/>
        <w:jc w:val="center"/>
        <w:rPr>
          <w:rFonts w:ascii="Arial" w:hAnsi="Arial"/>
          <w:sz w:val="22"/>
          <w:lang w:val="pt-BR"/>
        </w:rPr>
      </w:pPr>
      <w:r>
        <w:rPr>
          <w:rFonts w:ascii="Arial" w:hAnsi="Arial"/>
          <w:sz w:val="22"/>
          <w:lang w:val="pt-BR"/>
        </w:rPr>
        <w:t>MARA LÚCIA FERREIRA ELÉGUIDA</w:t>
      </w:r>
    </w:p>
    <w:p>
      <w:pPr>
        <w:pStyle w:val="Corpodotexto"/>
        <w:spacing w:before="0" w:after="20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Presidente da Associação </w:t>
      </w:r>
    </w:p>
    <w:p>
      <w:pPr>
        <w:pStyle w:val="Corpodotexto"/>
        <w:spacing w:before="0" w:after="120"/>
        <w:rPr/>
      </w:pPr>
      <w:r>
        <w:rPr/>
        <w:br/>
      </w:r>
    </w:p>
    <w:sectPr>
      <w:headerReference w:type="default" r:id="rId2"/>
      <w:footerReference w:type="default" r:id="rId3"/>
      <w:type w:val="nextPage"/>
      <w:pgSz w:w="11906" w:h="16838"/>
      <w:pgMar w:left="1701" w:right="991" w:header="708" w:top="1417" w:footer="72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left="567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419" w:leader="none"/>
        <w:tab w:val="right" w:pos="8838" w:leader="none"/>
      </w:tabs>
      <w:jc w:val="center"/>
      <w:rPr/>
    </w:pPr>
    <w:r>
      <w:rPr/>
      <w:drawing>
        <wp:inline distT="0" distB="0" distL="0" distR="0">
          <wp:extent cx="1143000" cy="1085850"/>
          <wp:effectExtent l="0" t="0" r="0" b="0"/>
          <wp:docPr id="1" name="Imagem 21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1" descr="brasão Facebo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95" t="13331" r="18653" b="1822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Rodap"/>
      <w:ind w:left="567" w:hanging="0"/>
      <w:jc w:val="center"/>
      <w:rPr>
        <w:rFonts w:ascii="Arial" w:hAnsi="Arial" w:eastAsia="Times New Roman" w:cs="Arial"/>
        <w:sz w:val="20"/>
        <w:szCs w:val="20"/>
      </w:rPr>
    </w:pPr>
    <w:r>
      <w:rPr>
        <w:rFonts w:eastAsia="Times New Roman" w:cs="Arial" w:ascii="Arial" w:hAnsi="Arial"/>
        <w:sz w:val="20"/>
        <w:szCs w:val="20"/>
      </w:rPr>
    </w:r>
  </w:p>
  <w:p>
    <w:pPr>
      <w:pStyle w:val="Normal"/>
      <w:rPr>
        <w:rFonts w:ascii="Arial" w:hAnsi="Arial" w:eastAsia="Times New Roman" w:cs="Arial"/>
        <w:sz w:val="20"/>
        <w:szCs w:val="20"/>
      </w:rPr>
    </w:pPr>
    <w:r>
      <w:rPr>
        <w:rFonts w:eastAsia="Times New Roman" w:cs="Arial" w:ascii="Arial" w:hAnsi="Arial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Cambria" w:hAnsi="Cambria" w:eastAsia="Times New Roman" w:cs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rFonts w:ascii="Calibri" w:hAnsi="Calibri" w:eastAsia="Times New Roman" w:cs="Calibri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 w:eastAsia="Times New Roman" w:cs="Calibri"/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eastAsia="Times New Roman" w:cs="Calibri"/>
      <w:b/>
      <w:bCs/>
      <w:sz w:val="22"/>
      <w:szCs w:val="22"/>
      <w:lang w:val="x-none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eastAsia="Times New Roman" w:cs="Calibri"/>
      <w:lang w:val="x-none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 w:eastAsia="Times New Roman" w:cs="Calibri"/>
      <w:i/>
      <w:iCs/>
      <w:lang w:val="x-none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Cambria" w:hAnsi="Cambria" w:eastAsia="Times New Roman" w:cs="Cambria"/>
      <w:sz w:val="22"/>
      <w:szCs w:val="22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Arial" w:hAnsi="Arial" w:cs="Arial"/>
      <w:b/>
      <w:color w:val="auto"/>
      <w:sz w:val="24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Ttulo1Char" w:customStyle="1">
    <w:name w:val="Título 1 Char"/>
    <w:qFormat/>
    <w:rPr>
      <w:rFonts w:ascii="Times New Roman" w:hAnsi="Times New Roman" w:cs="Times New Roman"/>
      <w:sz w:val="28"/>
      <w:szCs w:val="24"/>
    </w:rPr>
  </w:style>
  <w:style w:type="character" w:styleId="Ttulo2Char" w:customStyle="1">
    <w:name w:val="Título 2 Char"/>
    <w:qFormat/>
    <w:rPr>
      <w:rFonts w:ascii="Times New Roman" w:hAnsi="Times New Roman" w:cs="Times New Roman"/>
      <w:sz w:val="28"/>
      <w:szCs w:val="24"/>
    </w:rPr>
  </w:style>
  <w:style w:type="character" w:styleId="Ttulo3Char" w:customStyle="1">
    <w:name w:val="Título 3 Char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tulo5Char" w:customStyle="1">
    <w:name w:val="Título 5 Char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tulo6Char" w:customStyle="1">
    <w:name w:val="Título 6 Char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Ttulo7Char" w:customStyle="1">
    <w:name w:val="Título 7 Char"/>
    <w:qFormat/>
    <w:rPr>
      <w:rFonts w:ascii="Calibri" w:hAnsi="Calibri" w:eastAsia="Times New Roman" w:cs="Times New Roman"/>
      <w:sz w:val="24"/>
      <w:szCs w:val="24"/>
    </w:rPr>
  </w:style>
  <w:style w:type="character" w:styleId="Ttulo8Char" w:customStyle="1">
    <w:name w:val="Título 8 Char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Ttulo9Char" w:customStyle="1">
    <w:name w:val="Título 9 Char"/>
    <w:qFormat/>
    <w:rPr>
      <w:rFonts w:ascii="Cambria" w:hAnsi="Cambria" w:eastAsia="Times New Roman" w:cs="Times New Roman"/>
      <w:sz w:val="22"/>
      <w:szCs w:val="22"/>
    </w:rPr>
  </w:style>
  <w:style w:type="character" w:styleId="CabealhoChar" w:customStyle="1">
    <w:name w:val="Cabeçalho Char"/>
    <w:qFormat/>
    <w:rPr>
      <w:rFonts w:ascii="Times New Roman" w:hAnsi="Times New Roman" w:cs="Times New Roman"/>
      <w:sz w:val="24"/>
      <w:szCs w:val="24"/>
    </w:rPr>
  </w:style>
  <w:style w:type="character" w:styleId="RodapChar" w:customStyle="1">
    <w:name w:val="Rodapé Char"/>
    <w:qFormat/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Appleconvertedspace" w:customStyle="1">
    <w:name w:val="apple-converted-space"/>
    <w:basedOn w:val="Fontepargpadro1"/>
    <w:qFormat/>
    <w:rPr/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CorpodetextoChar" w:customStyle="1">
    <w:name w:val="Corpo de texto Char"/>
    <w:qFormat/>
    <w:rPr>
      <w:rFonts w:ascii="Times New Roman" w:hAnsi="Times New Roman" w:cs="Times New Roman"/>
      <w:sz w:val="24"/>
      <w:szCs w:val="24"/>
    </w:rPr>
  </w:style>
  <w:style w:type="character" w:styleId="LinkdaInternet" w:customStyle="1">
    <w:name w:val="Link da Internet"/>
    <w:uiPriority w:val="99"/>
    <w:semiHidden/>
    <w:unhideWhenUsed/>
    <w:rsid w:val="00fb1c05"/>
    <w:rPr>
      <w:color w:val="0000FF"/>
      <w:u w:val="single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next w:val="Lista"/>
    <w:pPr>
      <w:spacing w:before="0" w:after="120"/>
    </w:pPr>
    <w:rPr>
      <w:lang w:val="x-none"/>
    </w:rPr>
  </w:style>
  <w:style w:type="paragraph" w:styleId="Lista">
    <w:name w:val="List"/>
    <w:next w:val="Caption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eastAsia="zh-CN" w:bidi="hi-IN" w:val="pt-BR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next w:val="Ttulo11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next w:val="Ndice"/>
    <w:qFormat/>
    <w:pPr>
      <w:suppressLineNumbers/>
      <w:spacing w:before="120" w:after="120"/>
    </w:pPr>
    <w:rPr>
      <w:rFonts w:cs="Arial"/>
      <w:i/>
      <w:iCs/>
    </w:rPr>
  </w:style>
  <w:style w:type="paragraph" w:styleId="Ttulo21" w:customStyle="1">
    <w:name w:val="Título2"/>
    <w:basedOn w:val="Normal"/>
    <w:next w:val="Li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1" w:customStyle="1">
    <w:name w:val="Título1"/>
    <w:basedOn w:val="Normal"/>
    <w:next w:val="Li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argrafodaLista1" w:customStyle="1">
    <w:name w:val="Parágrafo da Lista1"/>
    <w:basedOn w:val="Normal"/>
    <w:next w:val="Contedodatabela"/>
    <w:qFormat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next w:val="Cabealho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next w:val="Rodap"/>
    <w:pPr/>
    <w:rPr>
      <w:lang w:val="x-none"/>
    </w:rPr>
  </w:style>
  <w:style w:type="paragraph" w:styleId="Rodap">
    <w:name w:val="Footer"/>
    <w:basedOn w:val="Normal"/>
    <w:next w:val="BalloonText"/>
    <w:pPr/>
    <w:rPr>
      <w:lang w:val="x-none"/>
    </w:rPr>
  </w:style>
  <w:style w:type="paragraph" w:styleId="BalloonText">
    <w:name w:val="Balloon Text"/>
    <w:basedOn w:val="Normal"/>
    <w:next w:val="SemEspaamento1"/>
    <w:qFormat/>
    <w:pPr/>
    <w:rPr>
      <w:rFonts w:ascii="Segoe UI" w:hAnsi="Segoe UI" w:cs="Segoe UI"/>
      <w:sz w:val="18"/>
      <w:szCs w:val="18"/>
      <w:lang w:val="x-none"/>
    </w:rPr>
  </w:style>
  <w:style w:type="paragraph" w:styleId="SemEspaamento1" w:customStyle="1">
    <w:name w:val="Sem Espaçamento1"/>
    <w:next w:val="PargrafodaLista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Contedodatabela" w:customStyle="1">
    <w:name w:val="Conteúdo da tabela"/>
    <w:basedOn w:val="Normal"/>
    <w:next w:val="Ttulodetabela"/>
    <w:qFormat/>
    <w:pPr>
      <w:suppressLineNumbers/>
    </w:pPr>
    <w:rPr/>
  </w:style>
  <w:style w:type="paragraph" w:styleId="Ttulodetabela" w:customStyle="1">
    <w:name w:val="Título de tabela"/>
    <w:qFormat/>
    <w:pPr>
      <w:widowControl w:val="false"/>
      <w:suppressLineNumbers/>
      <w:suppressAutoHyphens w:val="true"/>
      <w:bidi w:val="0"/>
      <w:spacing w:before="0" w:after="0"/>
      <w:jc w:val="center"/>
    </w:pPr>
    <w:rPr>
      <w:rFonts w:ascii="Liberation Serif" w:hAnsi="Liberation Serif" w:eastAsia="NSimSun" w:cs="Arial"/>
      <w:b/>
      <w:bCs/>
      <w:color w:val="auto"/>
      <w:kern w:val="0"/>
      <w:sz w:val="24"/>
      <w:szCs w:val="24"/>
      <w:lang w:eastAsia="zh-CN" w:bidi="hi-IN" w:val="pt-BR"/>
    </w:rPr>
  </w:style>
  <w:style w:type="paragraph" w:styleId="NormalWeb">
    <w:name w:val="Normal (Web)"/>
    <w:basedOn w:val="Normal"/>
    <w:uiPriority w:val="99"/>
    <w:semiHidden/>
    <w:unhideWhenUsed/>
    <w:qFormat/>
    <w:rsid w:val="00fb1c05"/>
    <w:pPr>
      <w:suppressAutoHyphens w:val="false"/>
      <w:spacing w:beforeAutospacing="1" w:afterAutospacing="1"/>
    </w:pPr>
    <w:rPr>
      <w:rFonts w:eastAsia="Times New Roman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LibreOffice/7.0.1.2$Windows_X86_64 LibreOffice_project/7cbcfc562f6eb6708b5ff7d7397325de9e764452</Application>
  <Pages>6</Pages>
  <Words>3017</Words>
  <Characters>17073</Characters>
  <CharactersWithSpaces>20065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2022-05-24T16:52:00Z</dcterms:created>
  <dc:creator>Tecleenter</dc:creator>
  <dc:description/>
  <dc:language>pt-BR</dc:language>
  <cp:lastModifiedBy>Conta da Microsoft</cp:lastModifiedBy>
  <cp:lastPrinted>2022-04-20T16:44:00Z</cp:lastPrinted>
  <dcterms:modified xsi:type="dcterms:W3CDTF">2022-05-24T16:52:00Z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