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5.png" ContentType="image/png"/>
  <Override PartName="/word/media/image4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/>
      </w:pPr>
      <w:r>
        <w:rPr/>
        <w:t>Excelentíssimo Senhor Prefeito Municipal de Três Passos</w:t>
      </w:r>
    </w:p>
    <w:p>
      <w:pPr>
        <w:pStyle w:val="Normal"/>
        <w:jc w:val="both"/>
        <w:rPr/>
      </w:pPr>
      <w:r>
        <w:rPr/>
        <w:t>Arlei Luis Tomazoni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CÂMARA MUNICIPAL DE TRÊS PASSOS</w:t>
      </w:r>
    </w:p>
    <w:p>
      <w:pPr>
        <w:pStyle w:val="Normal"/>
        <w:jc w:val="both"/>
        <w:rPr/>
      </w:pPr>
      <w:r>
        <w:rPr/>
        <w:t>AUTÓGRAFO N</w:t>
      </w:r>
      <w:r>
        <w:rPr>
          <w:strike/>
        </w:rPr>
        <w:t>º</w:t>
      </w:r>
      <w:r>
        <w:rPr/>
        <w:t xml:space="preserve"> 68 DE 2022</w:t>
      </w:r>
    </w:p>
    <w:p>
      <w:pPr>
        <w:pStyle w:val="Normal"/>
        <w:jc w:val="both"/>
        <w:rPr/>
      </w:pPr>
      <w:r>
        <w:rPr/>
        <w:t>Em 14</w:t>
      </w:r>
      <w:r>
        <w:rPr>
          <w:rFonts w:eastAsia="Times New Roman" w:cs="Times New Roman"/>
          <w:color w:val="00000A"/>
          <w:kern w:val="0"/>
          <w:sz w:val="24"/>
          <w:szCs w:val="24"/>
          <w:lang w:val="pt-BR" w:eastAsia="pt-BR" w:bidi="ar-SA"/>
        </w:rPr>
        <w:t xml:space="preserve"> de junho </w:t>
      </w:r>
      <w:r>
        <w:rPr/>
        <w:t>de 2022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Senhor Prefeito,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ab/>
        <w:t>Dirijo-me a Vossa Excelência para comunicar que esta Câmara Municipal, na Sessão de 13</w:t>
      </w:r>
      <w:r>
        <w:rPr>
          <w:rFonts w:eastAsia="Times New Roman" w:cs="Times New Roman"/>
          <w:color w:val="00000A"/>
          <w:kern w:val="0"/>
          <w:sz w:val="24"/>
          <w:szCs w:val="24"/>
          <w:lang w:val="pt-BR" w:eastAsia="pt-BR" w:bidi="ar-SA"/>
        </w:rPr>
        <w:t xml:space="preserve"> de junho </w:t>
      </w:r>
      <w:r>
        <w:rPr/>
        <w:t>de 2022, aprovou o PROJETO DE LEI N</w:t>
      </w:r>
      <w:r>
        <w:rPr>
          <w:strike/>
        </w:rPr>
        <w:t>º</w:t>
      </w:r>
      <w:r>
        <w:rPr/>
        <w:t xml:space="preserve"> 70, de 2022, de sua autoria, que “autoriza o Poder Executivo a firmar Termo de Fomento e repassar recurso financeiro à ONG APASSOS”, seguindo a redação final para sanção ou veto nos termos do art. 72 da Lei Orgânica Municipal.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139950" cy="429895"/>
            <wp:effectExtent l="0" t="0" r="0" b="0"/>
            <wp:wrapSquare wrapText="largest"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Vereador Edivan Nelsi Baron</w:t>
      </w:r>
    </w:p>
    <w:p>
      <w:pPr>
        <w:pStyle w:val="Normal"/>
        <w:jc w:val="center"/>
        <w:rPr/>
      </w:pPr>
      <w:r>
        <w:rPr/>
        <w:t>Presidente da Câmara Municipal de Três Passos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/>
      </w:r>
    </w:p>
    <w:p>
      <w:pPr>
        <w:pStyle w:val="Normal"/>
        <w:jc w:val="center"/>
        <w:rPr/>
      </w:pPr>
      <w:r>
        <w:rPr>
          <w:b/>
          <w:bCs/>
        </w:rPr>
        <w:t>PROJETO DE LEI N</w:t>
      </w:r>
      <w:r>
        <w:rPr>
          <w:b/>
          <w:bCs/>
          <w:strike/>
        </w:rPr>
        <w:t>º</w:t>
      </w:r>
      <w:r>
        <w:rPr>
          <w:b/>
          <w:bCs/>
        </w:rPr>
        <w:t xml:space="preserve"> 70, DE 19</w:t>
      </w:r>
      <w:r>
        <w:rPr>
          <w:rFonts w:eastAsia="Times New Roman" w:cs="Times New Roman"/>
          <w:b/>
          <w:bCs/>
          <w:color w:val="00000A"/>
          <w:kern w:val="0"/>
          <w:sz w:val="24"/>
          <w:szCs w:val="24"/>
          <w:lang w:val="pt-BR" w:eastAsia="pt-BR" w:bidi="ar-SA"/>
        </w:rPr>
        <w:t xml:space="preserve"> </w:t>
      </w:r>
      <w:r>
        <w:rPr>
          <w:b/>
          <w:bCs/>
        </w:rPr>
        <w:t>DE MAIO DE 2022</w:t>
      </w:r>
    </w:p>
    <w:p>
      <w:pPr>
        <w:pStyle w:val="Normal"/>
        <w:jc w:val="both"/>
        <w:rPr>
          <w:rFonts w:cs="Arial"/>
        </w:rPr>
      </w:pPr>
      <w:r>
        <w:rPr>
          <w:rFonts w:cs="Arial"/>
        </w:rPr>
      </w:r>
    </w:p>
    <w:p>
      <w:pPr>
        <w:pStyle w:val="Normal"/>
        <w:ind w:left="4535" w:hanging="0"/>
        <w:jc w:val="both"/>
        <w:rPr/>
      </w:pPr>
      <w:r>
        <w:rPr/>
        <w:t xml:space="preserve">Autoriza o Poder Executivo a firmar Termo de Fomento e repassar recurso financeiro à ONG APASSOS. </w:t>
      </w:r>
    </w:p>
    <w:p>
      <w:pPr>
        <w:pStyle w:val="Normal"/>
        <w:ind w:left="4535" w:hanging="0"/>
        <w:jc w:val="both"/>
        <w:rPr>
          <w:rFonts w:cs="Arial"/>
        </w:rPr>
      </w:pPr>
      <w:r>
        <w:rPr>
          <w:rFonts w:cs="Arial"/>
        </w:rPr>
      </w:r>
    </w:p>
    <w:p>
      <w:pPr>
        <w:pStyle w:val="Normal"/>
        <w:ind w:firstLine="850"/>
        <w:jc w:val="both"/>
        <w:rPr/>
      </w:pPr>
      <w:r>
        <w:rPr/>
        <w:t>Art. 1</w:t>
      </w:r>
      <w:r>
        <w:rPr>
          <w:strike/>
        </w:rPr>
        <w:t>º</w:t>
      </w:r>
      <w:r>
        <w:rPr/>
        <w:t xml:space="preserve"> Fica o Poder Executivo Municipal autorizado a firmar Termo de Fomento e repassar recursos à Associação Protetora dos animais – ONG APASSOS, entidade civil sem fins lucrativos, sob o CNPJ n</w:t>
      </w:r>
      <w:r>
        <w:rPr>
          <w:strike/>
        </w:rPr>
        <w:t>º</w:t>
      </w:r>
      <w:r>
        <w:rPr/>
        <w:t xml:space="preserve"> 12.581.083/0001-39, com sede na estrada Alta Molina, n</w:t>
      </w:r>
      <w:r>
        <w:rPr>
          <w:strike/>
        </w:rPr>
        <w:t>º</w:t>
      </w:r>
      <w:r>
        <w:rPr/>
        <w:t xml:space="preserve"> 250, no município de Três Passos. 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Art. 2</w:t>
      </w:r>
      <w:r>
        <w:rPr>
          <w:strike/>
        </w:rPr>
        <w:t>º</w:t>
      </w:r>
      <w:r>
        <w:rPr/>
        <w:t xml:space="preserve"> A Administração Pública repassará à OSC o valor de R$ 56.183,07 (cinquenta e seis mil, cento e oitenta e três reais e sete centavos), conforme cronograma de desembolso, constante no Plano de Trabalho e no Termo de Fomento, ambos anexos a esta lei.</w:t>
      </w:r>
    </w:p>
    <w:p>
      <w:pPr>
        <w:pStyle w:val="Normal"/>
        <w:ind w:firstLine="850"/>
        <w:jc w:val="both"/>
        <w:rPr/>
      </w:pPr>
      <w:r>
        <w:rPr/>
        <w:tab/>
      </w:r>
    </w:p>
    <w:p>
      <w:pPr>
        <w:pStyle w:val="Normal"/>
        <w:ind w:firstLine="850"/>
        <w:jc w:val="both"/>
        <w:rPr/>
      </w:pPr>
      <w:r>
        <w:rPr/>
        <w:t>Art. 3</w:t>
      </w:r>
      <w:r>
        <w:rPr>
          <w:strike/>
        </w:rPr>
        <w:t>º</w:t>
      </w:r>
      <w:r>
        <w:rPr/>
        <w:t xml:space="preserve"> A prestação de contas deverá ser entregue em até 30 (trinta) dias após a execução, conforme convencionado no Termo de Fomento. 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Art. 4</w:t>
      </w:r>
      <w:r>
        <w:rPr>
          <w:strike/>
        </w:rPr>
        <w:t>º</w:t>
      </w:r>
      <w:r>
        <w:rPr/>
        <w:t xml:space="preserve"> Os valores dos recursos devem ser utilizados conforme Plano de Trabalho que segue anexo a esta lei. 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Art. 5</w:t>
      </w:r>
      <w:r>
        <w:rPr>
          <w:strike/>
        </w:rPr>
        <w:t>º</w:t>
      </w:r>
      <w:r>
        <w:rPr/>
        <w:t xml:space="preserve"> O Termo de Fomento atenderá às exigências da Lei n</w:t>
      </w:r>
      <w:r>
        <w:rPr>
          <w:strike/>
        </w:rPr>
        <w:t>º</w:t>
      </w:r>
      <w:r>
        <w:rPr/>
        <w:t xml:space="preserve"> 13.019, de 2014, conforme previsto no Termo de Fomento. 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Art. 6</w:t>
      </w:r>
      <w:r>
        <w:rPr>
          <w:strike/>
        </w:rPr>
        <w:t>º</w:t>
      </w:r>
      <w:r>
        <w:rPr/>
        <w:t xml:space="preserve"> Os fiscais do Termo de Fomento poderão realizar visitas à entidade para avaliação das atividades e validação do Plano de Trabalho.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Art. 7</w:t>
      </w:r>
      <w:r>
        <w:rPr>
          <w:strike/>
        </w:rPr>
        <w:t>º</w:t>
      </w:r>
      <w:r>
        <w:rPr/>
        <w:t xml:space="preserve"> A inobservância das disposições constantes nesta Lei acarretará na suspensão dos repasses e na devolução dos valores aplicados em desacordo com o estabelecido.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Art. 8</w:t>
      </w:r>
      <w:r>
        <w:rPr>
          <w:strike/>
        </w:rPr>
        <w:t>º</w:t>
      </w:r>
      <w:r>
        <w:rPr/>
        <w:t xml:space="preserve"> As despesas decorrentes da presente Lei correrão por conta de dotação específica.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Art. 9</w:t>
      </w:r>
      <w:r>
        <w:rPr>
          <w:strike/>
        </w:rPr>
        <w:t>º</w:t>
      </w:r>
      <w:r>
        <w:rPr/>
        <w:t xml:space="preserve"> Esta Lei entra em vigor na data de sua publicação.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center"/>
        <w:rPr/>
      </w:pPr>
      <w:r>
        <w:rPr/>
        <w:t>MINUTA DE TERMO DE FOMENTO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O MUNICÍPIO DE TRÊS PASSOS, pessoa jurídica de direito público inscrita no CNPJ sob o n</w:t>
      </w:r>
      <w:r>
        <w:rPr>
          <w:strike/>
        </w:rPr>
        <w:t>º</w:t>
      </w:r>
      <w:r>
        <w:rPr/>
        <w:t xml:space="preserve"> 87.613.188/0001-21, sediado na Avenida Santos Dumont n° 75, nesse ato representado por seu Prefeito Municipal em exercício, Sr. ARLEI LUÍS TOMAZONI, portador do CPF n</w:t>
      </w:r>
      <w:r>
        <w:rPr>
          <w:strike/>
        </w:rPr>
        <w:t>º</w:t>
      </w:r>
      <w:r>
        <w:rPr/>
        <w:t xml:space="preserve"> 700.363.650-68, residente e domiciliado nesta cidade de Três Passos - RS, no exercício de suas atribuições legais e regulamentares, doravante denominado Administração Pública e ASSOCIAÇÃO PROTETORA DOS ANIMAIS – ONG APSSOS, entidade civil sem fins lucrativos, entidade que exerce atividade ligada a ações que busquem a proteção e a defesa dos animais, devidamente registrada no C</w:t>
      </w:r>
      <w:r>
        <w:rPr>
          <w:rFonts w:eastAsia="Times New Roman" w:cs="Times New Roman"/>
          <w:color w:val="00000A"/>
          <w:kern w:val="0"/>
          <w:sz w:val="24"/>
          <w:szCs w:val="24"/>
          <w:lang w:val="pt-BR" w:eastAsia="pt-BR" w:bidi="ar-SA"/>
        </w:rPr>
        <w:t>NPJ</w:t>
      </w:r>
      <w:r>
        <w:rPr/>
        <w:t xml:space="preserve"> sob o n</w:t>
      </w:r>
      <w:r>
        <w:rPr>
          <w:strike/>
        </w:rPr>
        <w:t>º</w:t>
      </w:r>
      <w:r>
        <w:rPr/>
        <w:t xml:space="preserve"> 12.581.083/0001-39, situada na estrada Alta Molina, n</w:t>
      </w:r>
      <w:r>
        <w:rPr>
          <w:strike/>
        </w:rPr>
        <w:t>º</w:t>
      </w:r>
      <w:r>
        <w:rPr/>
        <w:t>250 no Município de Três Passos/RS, neste ato representada pela Presidente Sra. MARA LUCIA FERREIRA ELEGUIDA, portadora do CPF n</w:t>
      </w:r>
      <w:r>
        <w:rPr>
          <w:strike/>
        </w:rPr>
        <w:t>º</w:t>
      </w:r>
      <w:r>
        <w:rPr/>
        <w:t xml:space="preserve"> 430.760.920-49, residente e domiciliada na cidade de Três Passos – RS, doravante denominada OSC, com fundamento na Lei Federal n</w:t>
      </w:r>
      <w:r>
        <w:rPr>
          <w:strike/>
        </w:rPr>
        <w:t>º</w:t>
      </w:r>
      <w:r>
        <w:rPr/>
        <w:t xml:space="preserve"> 13.019/2014, bem como nos princípios que regem a Administração Pública e demais normas pertinentes, celebram este Termo de Fomento, na forma e condições estabelecidas nas seguintes cláusulas: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1. DO OBJETO</w:t>
      </w:r>
    </w:p>
    <w:p>
      <w:pPr>
        <w:pStyle w:val="Normal"/>
        <w:ind w:firstLine="850"/>
        <w:jc w:val="both"/>
        <w:rPr/>
      </w:pPr>
      <w:r>
        <w:rPr/>
        <w:t>1.1. O presente Termo de Fomento tem por objeto construção de alambrado para o Canil, colaborando na execução das atividades e na manutenção do trabalho que é realizado no local, posto que, a organização se dedica a preservação e proteção de animais vítimas de maus tratos e do abandono, adotando medidas para o controle de zoonoses e da superpopulação destes animais nas vias do município. Conforme indicação de emenda impositiva na LOA 2022 (Lei Municipal n</w:t>
      </w:r>
      <w:r>
        <w:rPr>
          <w:strike/>
        </w:rPr>
        <w:t>º</w:t>
      </w:r>
      <w:r>
        <w:rPr/>
        <w:t>5.691/2021).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2. DA TRANSFERÊNCIA FINANCEIRA</w:t>
      </w:r>
    </w:p>
    <w:p>
      <w:pPr>
        <w:pStyle w:val="Normal"/>
        <w:ind w:firstLine="850"/>
        <w:jc w:val="both"/>
        <w:rPr/>
      </w:pPr>
      <w:r>
        <w:rPr/>
        <w:t>2.1. A Administração Pública repassará a OSC o valor de R$ 56.183,07 (cinquenta e seis mil, cento e oitenta e três reais e sete centavos), conforme cronograma de desembolso, constante no Plano de Trabalho anexo a este Termo de Fomento.</w:t>
      </w:r>
    </w:p>
    <w:p>
      <w:pPr>
        <w:pStyle w:val="Normal"/>
        <w:ind w:firstLine="850"/>
        <w:jc w:val="both"/>
        <w:rPr/>
      </w:pPr>
      <w:r>
        <w:rPr/>
        <w:t>2.2. Para o exercício financeiro de 2022, fica estimado o repasse de R$ 56.183,07 (cinquenta e seis mil, cento e oitenta e três reais e sete centavos), correndo as despesas à conta da dotação orçamentária 744 - 4.4.50.42.00.00.00.00 - AUXÍLIOS.</w:t>
      </w:r>
    </w:p>
    <w:p>
      <w:pPr>
        <w:pStyle w:val="Normal"/>
        <w:ind w:firstLine="850"/>
        <w:jc w:val="both"/>
        <w:rPr/>
      </w:pPr>
      <w:r>
        <w:rPr/>
        <w:t>2.3. Em caso de celebração de aditivos, deverão ser indicados nos mesmos, os créditos e empenhos para cobertura de cada parcela da despesa a ser transferida.</w:t>
      </w:r>
    </w:p>
    <w:p>
      <w:pPr>
        <w:pStyle w:val="Normal"/>
        <w:ind w:firstLine="850"/>
        <w:jc w:val="both"/>
        <w:rPr/>
      </w:pPr>
      <w:r>
        <w:rPr/>
        <w:t>2.4. Na ocorrência de cancelamento de Restos a Pagar, o quantitativo poderá ser reduzido até a etapa que apresente funcionalidade, mediante aprovação prévia da Administração Pública.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3. DA CONTRAPARTIDA DA OSC</w:t>
      </w:r>
    </w:p>
    <w:p>
      <w:pPr>
        <w:pStyle w:val="Normal"/>
        <w:ind w:firstLine="850"/>
        <w:jc w:val="both"/>
        <w:rPr/>
      </w:pPr>
      <w:r>
        <w:rPr/>
        <w:t>3.1. A OSC contribuirá para a execução do objeto desta parceria com contrapartida consistente em:</w:t>
      </w:r>
    </w:p>
    <w:p>
      <w:pPr>
        <w:pStyle w:val="Normal"/>
        <w:ind w:firstLine="850"/>
        <w:jc w:val="both"/>
        <w:rPr/>
      </w:pPr>
      <w:r>
        <w:rPr/>
        <w:t xml:space="preserve">    </w:t>
      </w:r>
      <w:r>
        <w:rPr/>
        <w:t>1. Integralização do valor total da obra no valor de R$ 3.016,93 (três mil, dezesseis reais e noventa e três centavos), conforme Plano de Trabalho.</w:t>
      </w:r>
    </w:p>
    <w:p>
      <w:pPr>
        <w:pStyle w:val="Normal"/>
        <w:ind w:firstLine="850"/>
        <w:jc w:val="both"/>
        <w:rPr/>
      </w:pPr>
      <w:r>
        <w:rPr/>
        <w:t>4. DAS OBRIGAÇÕES DAS PARTES</w:t>
      </w:r>
    </w:p>
    <w:p>
      <w:pPr>
        <w:pStyle w:val="Normal"/>
        <w:ind w:firstLine="850"/>
        <w:jc w:val="both"/>
        <w:rPr/>
      </w:pPr>
      <w:r>
        <w:rPr/>
        <w:t>4.1. Compete à Administração Pública:</w:t>
      </w:r>
    </w:p>
    <w:p>
      <w:pPr>
        <w:pStyle w:val="Normal"/>
        <w:ind w:firstLine="850"/>
        <w:jc w:val="both"/>
        <w:rPr/>
      </w:pPr>
      <w:r>
        <w:rPr/>
        <w:t>I - Transferir os recursos à OSC de acordo com o Cronograma de Desembolso, em anexo, que faz parte integrante deste Termo de Fomento e no valor nele fixado;</w:t>
      </w:r>
    </w:p>
    <w:p>
      <w:pPr>
        <w:pStyle w:val="Normal"/>
        <w:ind w:firstLine="850"/>
        <w:jc w:val="both"/>
        <w:rPr/>
      </w:pPr>
      <w:r>
        <w:rPr/>
        <w:t>II - Fiscalizar a execução do Termo de Fomento, o que não fará cessar ou diminuir a responsabilidade da OSC pelo perfeito cumprimento das obrigações estipuladas, nem por quais danos, inclusive quanto a terceiros, ou por irregularidades constatadas;</w:t>
      </w:r>
    </w:p>
    <w:p>
      <w:pPr>
        <w:pStyle w:val="Normal"/>
        <w:ind w:firstLine="850"/>
        <w:jc w:val="both"/>
        <w:rPr/>
      </w:pPr>
      <w:r>
        <w:rPr/>
        <w:t>III - Comunicar formalmente à OSC qualquer irregularidade encontrada na execução das ações, fixando-lhe, quando não pactuado nesse Termo de Fomento prazo para corrigi-la;</w:t>
      </w:r>
    </w:p>
    <w:p>
      <w:pPr>
        <w:pStyle w:val="Normal"/>
        <w:ind w:firstLine="850"/>
        <w:jc w:val="both"/>
        <w:rPr/>
      </w:pPr>
      <w:r>
        <w:rPr/>
        <w:t>IV - Receber, apurar e solucionar eventuais queixas e reclamações, cientificando a OSC para as devidas regularizações;</w:t>
      </w:r>
    </w:p>
    <w:p>
      <w:pPr>
        <w:pStyle w:val="Normal"/>
        <w:ind w:firstLine="850"/>
        <w:jc w:val="both"/>
        <w:rPr/>
      </w:pPr>
      <w:r>
        <w:rPr/>
        <w:t>V - Constatadas quaisquer irregularidades no cumprimento do objeto desta Parceria, a Administração Pública poderá ordenar a suspensão dos serviços, sem prejuízo das penalidades a que se sujeita a OSC, e sem que esta tenha direito a qualquer indenização no caso daquelas não serem regularizadas dentro do prazo estabelecido no termo da notificação;</w:t>
      </w:r>
    </w:p>
    <w:p>
      <w:pPr>
        <w:pStyle w:val="Normal"/>
        <w:ind w:firstLine="850"/>
        <w:jc w:val="both"/>
        <w:rPr/>
      </w:pPr>
      <w:r>
        <w:rPr/>
        <w:t>VI - Aplicar as penalidades regulamentadas neste Termo de Fomento;</w:t>
      </w:r>
    </w:p>
    <w:p>
      <w:pPr>
        <w:pStyle w:val="Normal"/>
        <w:ind w:firstLine="850"/>
        <w:jc w:val="both"/>
        <w:rPr/>
      </w:pPr>
      <w:r>
        <w:rPr/>
        <w:t>VII - Fiscalizar periodicamente os contratos de trabalho que assegurem os direitos trabalhistas, sociais e previdenciários dos trabalhadores e prestadores de serviços da OSC;</w:t>
      </w:r>
    </w:p>
    <w:p>
      <w:pPr>
        <w:pStyle w:val="Normal"/>
        <w:ind w:firstLine="850"/>
        <w:jc w:val="both"/>
        <w:rPr/>
      </w:pPr>
      <w:r>
        <w:rPr/>
        <w:t>VIII - Apreciar a prestação de contas final apresentada, no prazo de até cento e cinquenta dias, contado da data de seu recebimento ou do cumprimento de diligência por ela determinada, prorrogável justificadamente por igual período; e</w:t>
      </w:r>
    </w:p>
    <w:p>
      <w:pPr>
        <w:pStyle w:val="Normal"/>
        <w:ind w:firstLine="850"/>
        <w:jc w:val="both"/>
        <w:rPr/>
      </w:pPr>
      <w:r>
        <w:rPr/>
        <w:t>IX – Publicar, às suas expensas, o extrato deste Termo de Fomento na imprensa oficial do Município.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4.2. Compete à OSC:</w:t>
      </w:r>
    </w:p>
    <w:p>
      <w:pPr>
        <w:pStyle w:val="Normal"/>
        <w:ind w:firstLine="850"/>
        <w:jc w:val="both"/>
        <w:rPr/>
      </w:pPr>
      <w:r>
        <w:rPr/>
        <w:t>I – Utilizar os valores recebidos de acordo com o Plano de Trabalho aprovado pela Administração Pública, observadas as disposições deste Termo de Fomento relativas à aplicação dos recursos;</w:t>
      </w:r>
    </w:p>
    <w:p>
      <w:pPr>
        <w:pStyle w:val="Normal"/>
        <w:ind w:firstLine="850"/>
        <w:jc w:val="both"/>
        <w:rPr/>
      </w:pPr>
      <w:r>
        <w:rPr/>
        <w:t>II - Responder exclusivamente pelo pagamento dos encargos trabalhistas, previdenciários, fiscais e comerciais relativos ao funcionamento da instituição e ao adimplemento deste Termo de Fomento, não se caracterizando responsabilidade solidária ou subsidiária da Administração Pública pelos respectivos pagamentos, nem qualquer oneração do objeto da parceria ou restrição à sua execução;</w:t>
      </w:r>
    </w:p>
    <w:p>
      <w:pPr>
        <w:pStyle w:val="Normal"/>
        <w:ind w:firstLine="850"/>
        <w:jc w:val="both"/>
        <w:rPr/>
      </w:pPr>
      <w:r>
        <w:rPr/>
        <w:t>III - Prestar contas dos recursos recebidos nos termos da Lei Federal n</w:t>
      </w:r>
      <w:r>
        <w:rPr>
          <w:strike/>
        </w:rPr>
        <w:t>º</w:t>
      </w:r>
      <w:r>
        <w:rPr/>
        <w:t xml:space="preserve"> 13.019/2014, nos prazos estabelecidos neste instrumento;</w:t>
      </w:r>
    </w:p>
    <w:p>
      <w:pPr>
        <w:pStyle w:val="Normal"/>
        <w:ind w:firstLine="850"/>
        <w:jc w:val="both"/>
        <w:rPr/>
      </w:pPr>
      <w:r>
        <w:rPr/>
        <w:t>IV - Indicar ao menos 1 (um) dirigente que se responsabilizará, de forma solidária, pela execução das atividades e cumprimento das metas pactuadas na parceria;</w:t>
      </w:r>
    </w:p>
    <w:p>
      <w:pPr>
        <w:pStyle w:val="Normal"/>
        <w:ind w:firstLine="850"/>
        <w:jc w:val="both"/>
        <w:rPr/>
      </w:pPr>
      <w:r>
        <w:rPr/>
        <w:t>V – Executar as ações objeto desta parceria com qualidade, atendendo o público de modo gratuito, universal e igualitário;</w:t>
      </w:r>
    </w:p>
    <w:p>
      <w:pPr>
        <w:pStyle w:val="Normal"/>
        <w:ind w:firstLine="850"/>
        <w:jc w:val="both"/>
        <w:rPr/>
      </w:pPr>
      <w:r>
        <w:rPr/>
        <w:t>VI - Manter em perfeitas condições de uso os equipamentos e os instrumentos necessários para a realização dos serviços e ações pactuadas, através da implantação de manutenção preventiva e corretiva predial e de todos os instrumentais e equipamentos;</w:t>
      </w:r>
    </w:p>
    <w:p>
      <w:pPr>
        <w:pStyle w:val="Normal"/>
        <w:ind w:firstLine="850"/>
        <w:jc w:val="both"/>
        <w:rPr/>
      </w:pPr>
      <w:r>
        <w:rPr/>
        <w:t>VII - Responder, com exclusividade, pela capacidade e orientações técnicas de toda a mão de obra necessária à fiel e perfeita execução desse Termo de Fomento;</w:t>
      </w:r>
    </w:p>
    <w:p>
      <w:pPr>
        <w:pStyle w:val="Normal"/>
        <w:ind w:firstLine="850"/>
        <w:jc w:val="both"/>
        <w:rPr/>
      </w:pPr>
      <w:r>
        <w:rPr/>
        <w:t>VIII - Manter contrato de trabalho que assegure direitos trabalhistas, sociais e previdenciários aos seus trabalhadores e prestadores de serviços;</w:t>
      </w:r>
    </w:p>
    <w:p>
      <w:pPr>
        <w:pStyle w:val="Normal"/>
        <w:ind w:firstLine="850"/>
        <w:jc w:val="both"/>
        <w:rPr/>
      </w:pPr>
      <w:r>
        <w:rPr/>
        <w:t>IX - Responsabilizar-se, com os recursos provenientes do Termo Fomento, pela indenização de dano causado ao público, decorrentes de ação ou omissão voluntária, ou de negligência, imperícia ou imprudência, praticados por seus empregados;</w:t>
      </w:r>
    </w:p>
    <w:p>
      <w:pPr>
        <w:pStyle w:val="Normal"/>
        <w:ind w:firstLine="850"/>
        <w:jc w:val="both"/>
        <w:rPr/>
      </w:pPr>
      <w:r>
        <w:rPr/>
        <w:t>X - Responsabilizar-se por cobrança indevida feita ao público, por profissional empregado ou preposto, em razão da execução desse Termo de Fomento;</w:t>
      </w:r>
    </w:p>
    <w:p>
      <w:pPr>
        <w:pStyle w:val="Normal"/>
        <w:ind w:firstLine="850"/>
        <w:jc w:val="both"/>
        <w:rPr/>
      </w:pPr>
      <w:r>
        <w:rPr/>
        <w:t>XI - Responsabilizar pelo espaço físico, equipamentos e mobiliários necessários ao desenvolvimento das ações objeto desta parceria;</w:t>
      </w:r>
    </w:p>
    <w:p>
      <w:pPr>
        <w:pStyle w:val="Normal"/>
        <w:ind w:firstLine="850"/>
        <w:jc w:val="both"/>
        <w:rPr/>
      </w:pPr>
      <w:r>
        <w:rPr/>
        <w:t>XII - Disponibilizar documentos dos profissionais que compõe a equipe técnica, tais como: diplomas dos profissionais, registro junto aos respectivos conselhos e contrato de trabalho;</w:t>
      </w:r>
    </w:p>
    <w:p>
      <w:pPr>
        <w:pStyle w:val="Normal"/>
        <w:ind w:firstLine="850"/>
        <w:jc w:val="both"/>
        <w:rPr/>
      </w:pPr>
      <w:r>
        <w:rPr/>
        <w:t>XIII – Garantir o livre acesso dos agentes públicos, em especial aos designados para a comissão de monitoramento e avaliação, ao gestor da parceria, do controle interno e do Tribunal de Contas relativamente aos processos, aos documentos e às informações referentes a este Termo de Fomento, bem como aos locais de execução do objeto;</w:t>
      </w:r>
    </w:p>
    <w:p>
      <w:pPr>
        <w:pStyle w:val="Normal"/>
        <w:ind w:firstLine="850"/>
        <w:jc w:val="both"/>
        <w:rPr/>
      </w:pPr>
      <w:r>
        <w:rPr/>
        <w:t>XIV – Aplicar os recursos recebidos e eventuais saldo saldos financeiros enquanto não utilizados, obrigatoriamente, em instituição financeira oficial indicada pela Administração Pública, assim como as receitas decorrentes, que serão obrigatoriamente computadas a crédito deste Termo de Fomento e aplicadas, exclusivamente, no objeto de sua finalidade, devendo constar de demonstrativo específico que integrará as prestações de contas; e</w:t>
      </w:r>
    </w:p>
    <w:p>
      <w:pPr>
        <w:pStyle w:val="Normal"/>
        <w:ind w:firstLine="850"/>
        <w:jc w:val="both"/>
        <w:rPr/>
      </w:pPr>
      <w:r>
        <w:rPr/>
        <w:t>XV – Restituir à Administração Pública os recursos recebidos quando a prestação de contas for avaliada como irregular, depois de exaurida a fase recursal, se mantida a decisão, caso em que a OSC poderá solicitar autorização para que o ressarcimento ao erário seja promovido por meio de ações compensatórias de interesse público, mediante a apresentação de novo plano de trabalho, conforme o objeto descrito no neste Termo de Fomento e a área de atuação da organização, cuja mensuração econômica será feita a partir do plano de trabalho original, desde que não tenha havido dolo ou fraude e não seja o caso de restituição integral dos recursos;</w:t>
      </w:r>
    </w:p>
    <w:p>
      <w:pPr>
        <w:pStyle w:val="Normal"/>
        <w:ind w:firstLine="850"/>
        <w:jc w:val="both"/>
        <w:rPr/>
      </w:pPr>
      <w:r>
        <w:rPr/>
        <w:t>XVI– a responsabilidade exclusiva pelo gerenciamento administrativo e financeiro dos recursos recebidos, inclusive no que diz respeito às despesas de custeio, de investimento e de pessoal.</w:t>
      </w:r>
    </w:p>
    <w:p>
      <w:pPr>
        <w:pStyle w:val="Normal"/>
        <w:ind w:firstLine="850"/>
        <w:jc w:val="both"/>
        <w:rPr/>
      </w:pPr>
      <w:r>
        <w:rPr/>
        <w:t>4.2.1. Caso a OSC adquira equipamentos e materiais permanentes com recursos provenientes da celebração da parceria, estes permanecerão na sua titularidade ao término do prazo deste Termo de Fomento, obrigando-se a OSC agravá-lo com cláusula de inalienabilidade, devendo realizar a transferência da propriedade dos mesmos à Administração Pública, na hipótese de sua extinção.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5. DA APLICAÇÃO DOS RECURSOS</w:t>
      </w:r>
    </w:p>
    <w:p>
      <w:pPr>
        <w:pStyle w:val="Normal"/>
        <w:ind w:firstLine="850"/>
        <w:jc w:val="both"/>
        <w:rPr/>
      </w:pPr>
      <w:r>
        <w:rPr/>
        <w:t>5.1. O Plano de Trabalho deverá ser executado com estrita observância das cláusulas pactuadas neste Termo de Fomento, sendo vedado:</w:t>
      </w:r>
    </w:p>
    <w:p>
      <w:pPr>
        <w:pStyle w:val="Normal"/>
        <w:ind w:firstLine="850"/>
        <w:jc w:val="both"/>
        <w:rPr/>
      </w:pPr>
      <w:r>
        <w:rPr/>
        <w:t>I - pagar, a qualquer título, servidor ou empregado público com recursos vinculados à parceria;</w:t>
      </w:r>
    </w:p>
    <w:p>
      <w:pPr>
        <w:pStyle w:val="Normal"/>
        <w:ind w:firstLine="850"/>
        <w:jc w:val="both"/>
        <w:rPr/>
      </w:pPr>
      <w:r>
        <w:rPr/>
        <w:t>II - modificar o objeto, exceto no caso de ampliação de metas, desde que seja previamente aprovada a adequação do plano de trabalho pela Administração Pública;</w:t>
      </w:r>
    </w:p>
    <w:p>
      <w:pPr>
        <w:pStyle w:val="Normal"/>
        <w:ind w:firstLine="850"/>
        <w:jc w:val="both"/>
        <w:rPr/>
      </w:pPr>
      <w:r>
        <w:rPr/>
        <w:t>III - utilizar, ainda que em caráter emergencial, recursos para finalidade diversa da estabelecida no plano de trabalho;</w:t>
      </w:r>
    </w:p>
    <w:p>
      <w:pPr>
        <w:pStyle w:val="Normal"/>
        <w:ind w:firstLine="850"/>
        <w:jc w:val="both"/>
        <w:rPr/>
      </w:pPr>
      <w:r>
        <w:rPr/>
        <w:t>IV - pagar despesa realizada em data anterior à vigência da parceria;</w:t>
      </w:r>
    </w:p>
    <w:p>
      <w:pPr>
        <w:pStyle w:val="Normal"/>
        <w:ind w:firstLine="850"/>
        <w:jc w:val="both"/>
        <w:rPr/>
      </w:pPr>
      <w:r>
        <w:rPr/>
        <w:t>V - efetuar pagamento em data posterior à vigência da parceria, salvo quando o fato gerador da despesa tiver ocorrido durante sua vigência;</w:t>
      </w:r>
    </w:p>
    <w:p>
      <w:pPr>
        <w:pStyle w:val="Normal"/>
        <w:ind w:firstLine="850"/>
        <w:jc w:val="both"/>
        <w:rPr/>
      </w:pPr>
      <w:r>
        <w:rPr/>
        <w:t>VI - realizar despesas com:</w:t>
      </w:r>
    </w:p>
    <w:p>
      <w:pPr>
        <w:pStyle w:val="Normal"/>
        <w:ind w:firstLine="850"/>
        <w:jc w:val="both"/>
        <w:rPr/>
      </w:pPr>
      <w:r>
        <w:rPr/>
        <w:t>a) multas, juros ou correção monetária, inclusive referentes a pagamentos ou a recolhimentos fora dos prazos, salvo se decorrentes de atrasos da Administração Pública na liberação de recursos financeiros;</w:t>
      </w:r>
    </w:p>
    <w:p>
      <w:pPr>
        <w:pStyle w:val="Normal"/>
        <w:ind w:firstLine="850"/>
        <w:jc w:val="both"/>
        <w:rPr/>
      </w:pPr>
      <w:r>
        <w:rPr/>
        <w:t>b) publicidade, salvo as previstas no plano de trabalho e diretamente vinculadas ao objeto da parceria, de caráter educativo, informativo ou de orientação social, das quais não constem nomes, símbolos ou imagens que caracterizem promoção pessoal; e</w:t>
      </w:r>
    </w:p>
    <w:p>
      <w:pPr>
        <w:pStyle w:val="Normal"/>
        <w:ind w:firstLine="850"/>
        <w:jc w:val="both"/>
        <w:rPr/>
      </w:pPr>
      <w:r>
        <w:rPr/>
        <w:t>c) pagamento de pessoal contratado pela OSC que não atendam às exigências do art. 46 da Lei Federal n</w:t>
      </w:r>
      <w:r>
        <w:rPr>
          <w:strike/>
        </w:rPr>
        <w:t>º</w:t>
      </w:r>
      <w:r>
        <w:rPr/>
        <w:t xml:space="preserve"> 13.019/2014.</w:t>
      </w:r>
    </w:p>
    <w:p>
      <w:pPr>
        <w:pStyle w:val="Normal"/>
        <w:ind w:firstLine="850"/>
        <w:jc w:val="both"/>
        <w:rPr/>
      </w:pPr>
      <w:r>
        <w:rPr/>
        <w:t>5.2. Os recursos recebidos em decorrência da parceria deverão ser depositados em conta corrente específica na instituição financeira pública determinada pela Administração Pública.</w:t>
      </w:r>
    </w:p>
    <w:p>
      <w:pPr>
        <w:pStyle w:val="Normal"/>
        <w:ind w:firstLine="850"/>
        <w:jc w:val="both"/>
        <w:rPr/>
      </w:pPr>
      <w:r>
        <w:rPr/>
        <w:t>5.3. Os rendimentos de ativos financeiros serão aplicados no objeto da parceria, estando sujeitos às mesmas condições de prestação de contas exigidas para os recursos transferidos.</w:t>
      </w:r>
    </w:p>
    <w:p>
      <w:pPr>
        <w:pStyle w:val="Normal"/>
        <w:ind w:firstLine="850"/>
        <w:jc w:val="both"/>
        <w:rPr/>
      </w:pPr>
      <w:r>
        <w:rPr/>
        <w:t>5.4. Por ocasião da conclusão, denúncia, rescisão ou extinção da parceria, os saldos financeiros remanescentes, inclusive os provenientes das receitas obtidas das aplicações financeiras realizadas, serão devolvidos à Administração Pública no prazo improrrogável de 30 (trinta) dias, sob pena de imediata instauração de tomada de contas especial do responsável, providenciada pela autoridade competente da Administração Pública.</w:t>
      </w:r>
    </w:p>
    <w:p>
      <w:pPr>
        <w:pStyle w:val="Normal"/>
        <w:ind w:firstLine="850"/>
        <w:jc w:val="both"/>
        <w:rPr/>
      </w:pPr>
      <w:r>
        <w:rPr/>
        <w:t>5.5. Toda a movimentação de recursos no âmbito da parceria será realizada mediante transferência eletrônica sujeita à identificação do beneficiário final e à obrigatoriedade de depósito em sua conta bancária.</w:t>
      </w:r>
    </w:p>
    <w:p>
      <w:pPr>
        <w:pStyle w:val="Normal"/>
        <w:ind w:firstLine="850"/>
        <w:jc w:val="both"/>
        <w:rPr/>
      </w:pPr>
      <w:r>
        <w:rPr/>
        <w:t>5.6. Os pagamentos deverão ser realizados mediante crédito na conta bancária de titularidade dos fornecedores e prestadores de serviços, excedo se demonstrada a impossibilidade física de pagamento mediante transferência eletrônica, caso em que se admitirá a realização de pagamentos em espécie.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6. DA PRESTAÇÃO DE CONTAS</w:t>
      </w:r>
    </w:p>
    <w:p>
      <w:pPr>
        <w:pStyle w:val="Normal"/>
        <w:ind w:firstLine="850"/>
        <w:jc w:val="both"/>
        <w:rPr/>
      </w:pPr>
      <w:r>
        <w:rPr/>
        <w:t>6.1. A prestação de contas deverá ser efetuada em até 30 (trinta) dias após a execução do objeto;</w:t>
      </w:r>
    </w:p>
    <w:p>
      <w:pPr>
        <w:pStyle w:val="Normal"/>
        <w:ind w:firstLine="850"/>
        <w:jc w:val="both"/>
        <w:rPr/>
      </w:pPr>
      <w:r>
        <w:rPr/>
        <w:t>6.2. A prestação de contas final dos recursos recebidos, deverá ser apresentada com os seguintes relatórios:</w:t>
      </w:r>
    </w:p>
    <w:p>
      <w:pPr>
        <w:pStyle w:val="Normal"/>
        <w:ind w:firstLine="850"/>
        <w:jc w:val="both"/>
        <w:rPr/>
      </w:pPr>
      <w:r>
        <w:rPr/>
        <w:t>I - Relatório de Execução do Objeto, assinado pelo seu representante legal, contendo as atividades desenvolvidas para o cumprimento do objeto e o comparativo de metas propostas com os resultados alcançados, a partir do cronograma acordado, anexando- se documentos de comprovação da realização das ações;</w:t>
      </w:r>
    </w:p>
    <w:p>
      <w:pPr>
        <w:pStyle w:val="Normal"/>
        <w:ind w:firstLine="850"/>
        <w:jc w:val="both"/>
        <w:rPr/>
      </w:pPr>
      <w:r>
        <w:rPr/>
        <w:t>II - Relatório de Execução Financeira, assinado pelo seu representante legal, com a descrição das despesas e receitas efetivamente realizadas;</w:t>
      </w:r>
    </w:p>
    <w:p>
      <w:pPr>
        <w:pStyle w:val="Normal"/>
        <w:ind w:firstLine="850"/>
        <w:jc w:val="both"/>
        <w:rPr/>
      </w:pPr>
      <w:r>
        <w:rPr/>
        <w:t>III - Original ou copias reprográficas dos comprovantes da despesa devidamente autenticadas em cartório ou por servidor da administração, devendo ser devolvidos os originais após autenticação das cópias;</w:t>
      </w:r>
    </w:p>
    <w:p>
      <w:pPr>
        <w:pStyle w:val="Normal"/>
        <w:ind w:firstLine="850"/>
        <w:jc w:val="both"/>
        <w:rPr/>
      </w:pPr>
      <w:r>
        <w:rPr/>
        <w:t>IV - Extrato bancário de conta específica e/ou de aplicação financeira, no qual deverá estar evidenciado o ingresso e a saída dos recursos, devidamente acompanhado da Conciliação Bancária, quando for o caso;</w:t>
      </w:r>
    </w:p>
    <w:p>
      <w:pPr>
        <w:pStyle w:val="Normal"/>
        <w:ind w:firstLine="850"/>
        <w:jc w:val="both"/>
        <w:rPr/>
      </w:pPr>
      <w:r>
        <w:rPr/>
        <w:t>V - Demonstrativo de Execução de Receita e Despesa, devidamente acompanhado dos comprovantes das despesas realizadas e assinado pelo dirigente e responsável financeiro da OSC;</w:t>
      </w:r>
    </w:p>
    <w:p>
      <w:pPr>
        <w:pStyle w:val="Normal"/>
        <w:ind w:firstLine="850"/>
        <w:jc w:val="both"/>
        <w:rPr/>
      </w:pPr>
      <w:r>
        <w:rPr/>
        <w:t>VI - Comprovante, quando houver, de devolução de saldo remanescente em até 10 (dez) dias após o término da vigência deste Termo de Fomento;</w:t>
      </w:r>
    </w:p>
    <w:p>
      <w:pPr>
        <w:pStyle w:val="Normal"/>
        <w:ind w:firstLine="850"/>
        <w:jc w:val="both"/>
        <w:rPr/>
      </w:pPr>
      <w:r>
        <w:rPr/>
        <w:t>VII - Relatório circunstanciado das atividades desenvolvidas pela OSC no exercício e das metas alcançadas.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7. DO PRAZO DE VIGÊNCIA</w:t>
      </w:r>
    </w:p>
    <w:p>
      <w:pPr>
        <w:pStyle w:val="Normal"/>
        <w:ind w:firstLine="850"/>
        <w:jc w:val="both"/>
        <w:rPr/>
      </w:pPr>
      <w:r>
        <w:rPr/>
        <w:t>7.1. O presente Termo de Fomento vigorará a partir da data de sua assinatura até 31/12/2022, podendo ser prorrogado mediante solicitação da organização da sociedade civil, devidamente formalizada e justificada, a ser apresentada à Administração Pública em, no mínimo, trinta dias antes do termo inicialmente previsto.</w:t>
      </w:r>
    </w:p>
    <w:p>
      <w:pPr>
        <w:pStyle w:val="Normal"/>
        <w:ind w:firstLine="850"/>
        <w:jc w:val="both"/>
        <w:rPr/>
      </w:pPr>
      <w:r>
        <w:rPr/>
        <w:t>7.2. A prorrogação de ofício da vigência deste Termo de Fomento será feita pela Administração Pública quando ela der causa a atraso na liberação de recursos financeiros, limitada ao exato período do atraso verificado.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8. DAS ALTERAÇÕES</w:t>
      </w:r>
    </w:p>
    <w:p>
      <w:pPr>
        <w:pStyle w:val="Normal"/>
        <w:ind w:firstLine="850"/>
        <w:jc w:val="both"/>
        <w:rPr/>
      </w:pPr>
      <w:r>
        <w:rPr/>
        <w:t>8.1. Este Termo de Fomento poderá ser alterado, exceto quanto ao seu objeto, mediante a celebração de Termos Aditivos, até o limite de 60 meses, desde que acordados entre os parceiros e firmados antes do término de sua vigência.</w:t>
      </w:r>
    </w:p>
    <w:p>
      <w:pPr>
        <w:pStyle w:val="Normal"/>
        <w:ind w:firstLine="850"/>
        <w:jc w:val="both"/>
        <w:rPr/>
      </w:pPr>
      <w:r>
        <w:rPr/>
        <w:t>8.2. O plano de trabalho da parceria poderá ser revisto para alteração de valores ou de metas, mediante termo aditivo ao plano de trabalho original.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9. DO ACOMPANHAMENTO, CONTROLE E FISCALIZAÇÃO</w:t>
      </w:r>
    </w:p>
    <w:p>
      <w:pPr>
        <w:pStyle w:val="Normal"/>
        <w:ind w:firstLine="850"/>
        <w:jc w:val="both"/>
        <w:rPr/>
      </w:pPr>
      <w:r>
        <w:rPr/>
        <w:t>9.1. A Administração Pública promoverá o monitoramento e a avaliação do cumprimento do objeto da parceria, podendo valer-se do apoio técnico de terceiros, delegar competência ou firmar parcerias com órgãos ou entidades públicas.</w:t>
      </w:r>
    </w:p>
    <w:p>
      <w:pPr>
        <w:pStyle w:val="Normal"/>
        <w:ind w:firstLine="850"/>
        <w:jc w:val="both"/>
        <w:rPr/>
      </w:pPr>
      <w:r>
        <w:rPr/>
        <w:t>9.2. A Administração Pública acompanhará a execução do objeto deste Termo de Fomento através de seu gestor, que tem por obrigações:</w:t>
      </w:r>
    </w:p>
    <w:p>
      <w:pPr>
        <w:pStyle w:val="Normal"/>
        <w:ind w:firstLine="850"/>
        <w:jc w:val="both"/>
        <w:rPr/>
      </w:pPr>
      <w:r>
        <w:rPr/>
        <w:t>I - Acompanhar e fiscalizar a execução da parceria;</w:t>
      </w:r>
    </w:p>
    <w:p>
      <w:pPr>
        <w:pStyle w:val="Normal"/>
        <w:ind w:firstLine="850"/>
        <w:jc w:val="both"/>
        <w:rPr/>
      </w:pPr>
      <w:r>
        <w:rPr/>
        <w:t>II - Informar ao seu superior hierárquico a existência de fatos que comprometam ou possam comprometer as atividades ou metas da parceria e de indícios de irregularidades na gestão dos recursos, bem como as providências adotadas ou que serão adotadas para sanar os problemas detectados;</w:t>
      </w:r>
    </w:p>
    <w:p>
      <w:pPr>
        <w:pStyle w:val="Normal"/>
        <w:ind w:firstLine="850"/>
        <w:jc w:val="both"/>
        <w:rPr/>
      </w:pPr>
      <w:r>
        <w:rPr/>
        <w:t>III - Emitir parecer conclusivo de análise da prestação de contas mensal e final, com base no relatório técnico de monitoramento e avaliação de que trata o art. 59 da Lei Federal n</w:t>
      </w:r>
      <w:r>
        <w:rPr>
          <w:strike/>
        </w:rPr>
        <w:t>º</w:t>
      </w:r>
      <w:r>
        <w:rPr/>
        <w:t xml:space="preserve"> 13.019/2014;</w:t>
      </w:r>
    </w:p>
    <w:p>
      <w:pPr>
        <w:pStyle w:val="Normal"/>
        <w:ind w:firstLine="850"/>
        <w:jc w:val="both"/>
        <w:rPr/>
      </w:pPr>
      <w:r>
        <w:rPr/>
        <w:t>IV - Disponibilizar materiais e equipamentos tecnológicos necessários às atividades de monitoramento e avaliação.</w:t>
      </w:r>
    </w:p>
    <w:p>
      <w:pPr>
        <w:pStyle w:val="Normal"/>
        <w:ind w:firstLine="850"/>
        <w:jc w:val="both"/>
        <w:rPr/>
      </w:pPr>
      <w:r>
        <w:rPr/>
        <w:t>9.3. A execução também será acompanhada por Comissão de Monitoramento e Avaliação, especialmente designada.</w:t>
      </w:r>
    </w:p>
    <w:p>
      <w:pPr>
        <w:pStyle w:val="Normal"/>
        <w:ind w:firstLine="850"/>
        <w:jc w:val="both"/>
        <w:rPr/>
      </w:pPr>
      <w:r>
        <w:rPr/>
        <w:t>9.4. A Administração Pública emitirá relatório técnico de monitoramento e avaliação da parceria e o submeterá à Comissão de Monitoramento e Avaliação designada, que o homologará, independentemente da obrigatoriedade de apresentação da prestação de contas pela OSC.</w:t>
      </w:r>
    </w:p>
    <w:p>
      <w:pPr>
        <w:pStyle w:val="Normal"/>
        <w:ind w:firstLine="850"/>
        <w:jc w:val="both"/>
        <w:rPr/>
      </w:pPr>
      <w:r>
        <w:rPr/>
        <w:t>9.5. O relatório técnico de monitoramento e avaliação da parceria, sem prejuízo de outros elementos, conterá:</w:t>
      </w:r>
    </w:p>
    <w:p>
      <w:pPr>
        <w:pStyle w:val="Normal"/>
        <w:ind w:firstLine="850"/>
        <w:jc w:val="both"/>
        <w:rPr/>
      </w:pPr>
      <w:r>
        <w:rPr/>
        <w:t>I - descrição sumária das atividades e metas estabelecidas;</w:t>
      </w:r>
    </w:p>
    <w:p>
      <w:pPr>
        <w:pStyle w:val="Normal"/>
        <w:ind w:firstLine="850"/>
        <w:jc w:val="both"/>
        <w:rPr/>
      </w:pPr>
      <w:r>
        <w:rPr/>
        <w:t>II - análise das atividades realizadas, do cumprimento das metas e do impacto do benefício social obtido em razão da execução do objeto até o período, com base nos indicadores estabelecidos e aprovados no plano de trabalho;</w:t>
      </w:r>
    </w:p>
    <w:p>
      <w:pPr>
        <w:pStyle w:val="Normal"/>
        <w:ind w:firstLine="850"/>
        <w:jc w:val="both"/>
        <w:rPr/>
      </w:pPr>
      <w:r>
        <w:rPr/>
        <w:t>III - valores efetivamente transferidos pela Administração Pública;</w:t>
      </w:r>
    </w:p>
    <w:p>
      <w:pPr>
        <w:pStyle w:val="Normal"/>
        <w:ind w:firstLine="850"/>
        <w:jc w:val="both"/>
        <w:rPr/>
      </w:pPr>
      <w:r>
        <w:rPr/>
        <w:t>IV - análise dos documentos comprobatórios das despesas apresentados pela OSC na prestação de contas, quando não for comprovado o alcance das metas e resultados estabelecidos neste Termo de Fomento.</w:t>
      </w:r>
    </w:p>
    <w:p>
      <w:pPr>
        <w:pStyle w:val="Normal"/>
        <w:ind w:firstLine="850"/>
        <w:jc w:val="both"/>
        <w:rPr/>
      </w:pPr>
      <w:r>
        <w:rPr/>
        <w:t>VI - análise de eventuais auditorias realizadas pelos controles interno e externo, no âmbito da fiscalização preventiva, bem como de suas conclusões e das medidas que tomaram em decorrência dessas auditorias</w:t>
      </w:r>
    </w:p>
    <w:p>
      <w:pPr>
        <w:pStyle w:val="Normal"/>
        <w:ind w:firstLine="850"/>
        <w:jc w:val="both"/>
        <w:rPr/>
      </w:pPr>
      <w:r>
        <w:rPr/>
        <w:t>9.6. No exercício de suas atribuições o gestor e os integrantes da Comissão de Monitoramento e Avaliação poderão realizar visita in loco, da qual será emitido relatório.</w:t>
      </w:r>
    </w:p>
    <w:p>
      <w:pPr>
        <w:pStyle w:val="Normal"/>
        <w:ind w:firstLine="850"/>
        <w:jc w:val="both"/>
        <w:rPr/>
      </w:pPr>
      <w:r>
        <w:rPr/>
        <w:t>9.7.Sem prejuízo da fiscalização pela Administração Pública e pelos órgãos de controle, a execução da parceria será acompanhada e fiscalizada pelo conselho de política pública correspondente.</w:t>
      </w:r>
    </w:p>
    <w:p>
      <w:pPr>
        <w:pStyle w:val="Normal"/>
        <w:ind w:firstLine="850"/>
        <w:jc w:val="both"/>
        <w:rPr/>
      </w:pPr>
      <w:r>
        <w:rPr/>
        <w:t>9.8. Comprovada a paralisação ou ocorrência de fato relevante, que possa colocar em risco a execução do plano de trabalho, a Administração Pública tem a prerrogativa de assumir ou transferir a responsabilidade pela execução do objeto, de forma a evitar sua descontinuidade.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10. DA RESCISÃO</w:t>
      </w:r>
    </w:p>
    <w:p>
      <w:pPr>
        <w:pStyle w:val="Normal"/>
        <w:ind w:firstLine="850"/>
        <w:jc w:val="both"/>
        <w:rPr/>
      </w:pPr>
      <w:r>
        <w:rPr/>
        <w:t>10.1. É facultado aos parceiros rescindir este Termo de Fomento, devendo comunicar essa intenção no prazo mínimo de 60 (sessenta) dias de antecedência, sendo-lhes imputadas as responsabilidades das obrigações e creditados os benefícios no período em que este tenha vigido.</w:t>
      </w:r>
    </w:p>
    <w:p>
      <w:pPr>
        <w:pStyle w:val="Normal"/>
        <w:ind w:firstLine="850"/>
        <w:jc w:val="both"/>
        <w:rPr/>
      </w:pPr>
      <w:r>
        <w:rPr/>
        <w:t>10.2. A Administração poderá rescindir unilateralmente este Termo de Fomento quando da constatação das seguintes situações:</w:t>
      </w:r>
    </w:p>
    <w:p>
      <w:pPr>
        <w:pStyle w:val="Normal"/>
        <w:ind w:firstLine="850"/>
        <w:jc w:val="both"/>
        <w:rPr/>
      </w:pPr>
      <w:r>
        <w:rPr/>
        <w:t>I - Utilização dos recursos em desacordo com o Plano de Trabalho aprovado;</w:t>
      </w:r>
    </w:p>
    <w:p>
      <w:pPr>
        <w:pStyle w:val="Normal"/>
        <w:ind w:firstLine="850"/>
        <w:jc w:val="both"/>
        <w:rPr/>
      </w:pPr>
      <w:r>
        <w:rPr/>
        <w:t>II - Retardamento injustificado na realização da execução do objeto deste Termo de Fomento;</w:t>
      </w:r>
    </w:p>
    <w:p>
      <w:pPr>
        <w:pStyle w:val="Normal"/>
        <w:ind w:firstLine="850"/>
        <w:jc w:val="both"/>
        <w:rPr/>
      </w:pPr>
      <w:r>
        <w:rPr/>
        <w:t>III - Descumprimento de cláusula constante deste Termo de Fomento.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11. DA RESPONSABILIZAÇÃO E DAS SANÇÕES</w:t>
      </w:r>
    </w:p>
    <w:p>
      <w:pPr>
        <w:pStyle w:val="Normal"/>
        <w:ind w:firstLine="850"/>
        <w:jc w:val="both"/>
        <w:rPr/>
      </w:pPr>
      <w:r>
        <w:rPr/>
        <w:t>11.1. O presente Termo de Fomento deverá ser executado fielmente pelos parceiros, de acordo com as cláusulas pactuadas e a legislação pertinente, respondendo cada um pelas consequências de sua inexecução total ou parcial.</w:t>
      </w:r>
    </w:p>
    <w:p>
      <w:pPr>
        <w:pStyle w:val="Normal"/>
        <w:ind w:firstLine="850"/>
        <w:jc w:val="both"/>
        <w:rPr/>
      </w:pPr>
      <w:r>
        <w:rPr/>
        <w:t>11.2. Pela execução da parceria em desacordo com o plano de trabalho, a Administração poderá, garantida a prévia defesa, aplicar à OSC da sociedade civil as seguintes sanções:</w:t>
      </w:r>
    </w:p>
    <w:p>
      <w:pPr>
        <w:pStyle w:val="Normal"/>
        <w:ind w:firstLine="850"/>
        <w:jc w:val="both"/>
        <w:rPr/>
      </w:pPr>
      <w:r>
        <w:rPr/>
        <w:t>I – advertência quando a OSC praticar pequenas irregularidades;</w:t>
      </w:r>
    </w:p>
    <w:p>
      <w:pPr>
        <w:pStyle w:val="Normal"/>
        <w:ind w:firstLine="850"/>
        <w:jc w:val="both"/>
        <w:rPr/>
      </w:pPr>
      <w:r>
        <w:rPr/>
        <w:t>II - suspensão temporária da participação em chamamento público e impedimento de celebrar parceria ou contrato com órgãos e OSCs da esfera de governo da Administração Pública sancionadora, pelo prazo de doze meses, no caso de descumprimento reiterado de previsões contidas no Termo de Fomento;</w:t>
      </w:r>
    </w:p>
    <w:p>
      <w:pPr>
        <w:pStyle w:val="Normal"/>
        <w:ind w:firstLine="850"/>
        <w:jc w:val="both"/>
        <w:rPr/>
      </w:pPr>
      <w:r>
        <w:rPr/>
        <w:t>III - declaração de inidoneidade para participar de chamamento público ou celebrar parceria ou contrato com órgãos e OSCs de todas as esferas de governo, enquanto perdurarem os motivos determinantes da punição ou até que seja promovida a reabilitação perante a própria autoridade que aplicou a penalidade, que será concedida sempre que a OSC ressarcir a Administração Pública pelos prejuízos resultantes e depois de decorrido o prazo da sanção aplicada com base no inciso II, quando julgada improcedente a prestação de contas.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12. DO FORO E DA SOLUÇÃO ADMINISTRATIVA DE CONFLITOS</w:t>
      </w:r>
    </w:p>
    <w:p>
      <w:pPr>
        <w:pStyle w:val="Normal"/>
        <w:ind w:firstLine="850"/>
        <w:jc w:val="both"/>
        <w:rPr/>
      </w:pPr>
      <w:r>
        <w:rPr/>
        <w:t>12.1. O foro da Comarca de Três Passos/RS é o eleito pelos parceiros para dirimir quaisquer dúvidas oriundas do presente Termo de Fomento.</w:t>
      </w:r>
    </w:p>
    <w:p>
      <w:pPr>
        <w:pStyle w:val="Normal"/>
        <w:ind w:firstLine="850"/>
        <w:jc w:val="both"/>
        <w:rPr/>
      </w:pPr>
      <w:r>
        <w:rPr/>
        <w:t>12.2. Antes de promover a ação judicial competente, as partes, obrigatoriamente, farão tratativas para prévia tentativa de solução administrativa. Referidas tratativas serão realizadas em reunião, com a participação da Procuradoria/Assessoria do Município, da qual será lavrada ata, ou por meio de documentos expressos, sobre os quais se manifestará a Procuradoria/Assessoria do Município.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13. DISPOSIÇÕES GERAIS</w:t>
      </w:r>
    </w:p>
    <w:p>
      <w:pPr>
        <w:pStyle w:val="Normal"/>
        <w:ind w:firstLine="850"/>
        <w:jc w:val="both"/>
        <w:rPr/>
      </w:pPr>
      <w:r>
        <w:rPr/>
        <w:t>13.1. Faz parte integrante e indissociável deste Termo de Fomento o plano de trabalho anexo.</w:t>
      </w:r>
    </w:p>
    <w:p>
      <w:pPr>
        <w:pStyle w:val="Normal"/>
        <w:ind w:firstLine="850"/>
        <w:jc w:val="both"/>
        <w:rPr/>
      </w:pPr>
      <w:r>
        <w:rPr/>
        <w:t>E, por estarem acordes, firmam os parceiros o presente Termo de Fomento, em 02 (duas) vias de igual teor e forma, para todos os efeitos legais.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Município de Três Passos, XX de XXXX de 2022.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MUNICÍPIO DE TRÊS PASSOS</w:t>
      </w:r>
    </w:p>
    <w:p>
      <w:pPr>
        <w:pStyle w:val="Normal"/>
        <w:ind w:firstLine="850"/>
        <w:jc w:val="both"/>
        <w:rPr/>
      </w:pPr>
      <w:r>
        <w:rPr/>
        <w:t>ARLEI LUÍS TOMAZONI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ASSOCIAÇÃO PROTETORA DOS ANIMAIS DE TRÊS PASSOS</w:t>
      </w:r>
    </w:p>
    <w:p>
      <w:pPr>
        <w:pStyle w:val="Normal"/>
        <w:ind w:firstLine="850"/>
        <w:jc w:val="both"/>
        <w:rPr/>
      </w:pPr>
      <w:r>
        <w:rPr/>
        <w:t>MARA LÚCIA FERREIRA ELÉGUIDA</w:t>
      </w:r>
    </w:p>
    <w:p>
      <w:pPr>
        <w:pStyle w:val="Normal"/>
        <w:ind w:firstLine="850"/>
        <w:jc w:val="both"/>
        <w:rPr/>
      </w:pPr>
      <w:r>
        <w:rPr/>
        <w:t>Presidente da Associação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hanging="0"/>
        <w:jc w:val="both"/>
        <w:rPr/>
      </w:pPr>
      <w:r>
        <w:rPr/>
      </w:r>
    </w:p>
    <w:p>
      <w:pPr>
        <w:pStyle w:val="Normal"/>
        <w:ind w:hanging="0"/>
        <w:jc w:val="both"/>
        <w:rPr/>
      </w:pPr>
      <w:r>
        <w:rPr/>
      </w:r>
    </w:p>
    <w:p>
      <w:pPr>
        <w:pStyle w:val="Normal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401685"/>
            <wp:effectExtent l="0" t="0" r="0" b="0"/>
            <wp:wrapSquare wrapText="largest"/>
            <wp:docPr id="2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401685"/>
            <wp:effectExtent l="0" t="0" r="0" b="0"/>
            <wp:wrapSquare wrapText="largest"/>
            <wp:docPr id="3" name="Figur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401685"/>
            <wp:effectExtent l="0" t="0" r="0" b="0"/>
            <wp:wrapSquare wrapText="largest"/>
            <wp:docPr id="4" name="Figur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type w:val="nextPage"/>
      <w:pgSz w:w="11906" w:h="16838"/>
      <w:pgMar w:left="1701" w:right="851" w:header="680" w:top="2693" w:footer="680" w:bottom="992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Unicode MS">
    <w:charset w:val="00"/>
    <w:family w:val="roman"/>
    <w:pitch w:val="variable"/>
  </w:font>
  <w:font w:name="FGOUYJ+RotisSemiSerif">
    <w:charset w:val="00"/>
    <w:family w:val="roman"/>
    <w:pitch w:val="variable"/>
  </w:font>
  <w:font w:name="Calibri">
    <w:charset w:val="00"/>
    <w:family w:val="roman"/>
    <w:pitch w:val="variable"/>
  </w:font>
  <w:font w:name="Palatino Linotype">
    <w:charset w:val="00"/>
    <w:family w:val="roman"/>
    <w:pitch w:val="variable"/>
  </w:font>
  <w:font w:name="Arial Narrow">
    <w:charset w:val="00"/>
    <w:family w:val="roman"/>
    <w:pitch w:val="variable"/>
  </w:font>
  <w:font w:name="Algerian">
    <w:altName w:val="comic"/>
    <w:charset w:val="00"/>
    <w:family w:val="roman"/>
    <w:pitch w:val="variable"/>
  </w:font>
  <w:font w:name="Arial Black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center"/>
      <w:rPr/>
    </w:pPr>
    <w:r>
      <w:rPr>
        <w:rFonts w:ascii="Arial Black" w:hAnsi="Arial Black"/>
        <w:sz w:val="16"/>
      </w:rPr>
      <w:t>Rua Salgado Filho, 79  - Três Passos-RS.-  CEP: 98600-000  Fone: (55) 3522 1210</w:t>
    </w:r>
  </w:p>
  <w:p>
    <w:pPr>
      <w:pStyle w:val="Rodap"/>
      <w:jc w:val="center"/>
      <w:rPr/>
    </w:pPr>
    <w:r>
      <w:rPr>
        <w:rFonts w:ascii="Arial Black" w:hAnsi="Arial Black"/>
        <w:sz w:val="16"/>
      </w:rPr>
      <w:t xml:space="preserve">E-mail: </w:t>
    </w:r>
    <w:r>
      <w:rPr>
        <w:rStyle w:val="LinkdaInternet"/>
        <w:rFonts w:ascii="Arial Black" w:hAnsi="Arial Black"/>
        <w:color w:val="00000A"/>
        <w:sz w:val="16"/>
        <w:u w:val="none"/>
      </w:rPr>
      <w:t>camara@trespassos.rs.leg.br</w:t>
    </w:r>
    <w:r>
      <w:rPr>
        <w:rFonts w:ascii="Arial Black" w:hAnsi="Arial Black"/>
        <w:sz w:val="16"/>
      </w:rPr>
      <w:t xml:space="preserve">   Site: www.trespassos.rs.leg.br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114300" distR="114300" simplePos="0" locked="0" layoutInCell="0" allowOverlap="1" relativeHeight="13">
          <wp:simplePos x="0" y="0"/>
          <wp:positionH relativeFrom="column">
            <wp:posOffset>2522855</wp:posOffset>
          </wp:positionH>
          <wp:positionV relativeFrom="paragraph">
            <wp:posOffset>-105410</wp:posOffset>
          </wp:positionV>
          <wp:extent cx="800100" cy="1143000"/>
          <wp:effectExtent l="0" t="0" r="0" b="0"/>
          <wp:wrapSquare wrapText="largest"/>
          <wp:docPr id="5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Estado do Rio Grande do Sul</w:t>
    </w:r>
  </w:p>
  <w:p>
    <w:pPr>
      <w:pStyle w:val="Cabealho"/>
      <w:jc w:val="center"/>
      <w:rPr>
        <w:rFonts w:ascii="Algerian" w:hAnsi="Algerian"/>
        <w:b/>
        <w:b/>
        <w:bCs/>
        <w:sz w:val="21"/>
        <w:szCs w:val="21"/>
      </w:rPr>
    </w:pPr>
    <w:r>
      <w:rPr>
        <w:rFonts w:ascii="Algerian" w:hAnsi="Algerian"/>
        <w:b/>
        <w:bCs/>
        <w:sz w:val="21"/>
        <w:szCs w:val="21"/>
      </w:rPr>
      <w:t>CÂMARA MUNICIPAL DE TRÊS PASSOS</w:t>
    </w:r>
  </w:p>
  <w:p>
    <w:pPr>
      <w:pStyle w:val="Cabealho"/>
      <w:rPr>
        <w:sz w:val="20"/>
        <w:szCs w:val="20"/>
      </w:rPr>
    </w:pPr>
    <w:r>
      <w:rPr>
        <w:sz w:val="20"/>
        <w:szCs w:val="20"/>
      </w:rPr>
    </w:r>
  </w:p>
</w:hdr>
</file>

<file path=word/settings.xml><?xml version="1.0" encoding="utf-8"?>
<w:settings xmlns:w="http://schemas.openxmlformats.org/wordprocessingml/2006/main">
  <w:zoom w:percent="110"/>
  <w:embedSystemFonts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Body Text Indent 3" w:uiPriority="99"/>
    <w:lsdException w:name="Strong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uiPriority="99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next w:val="Normal"/>
    <w:link w:val="Ttulo1Char"/>
    <w:qFormat/>
    <w:pPr>
      <w:keepNext w:val="true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nhideWhenUsed/>
    <w:qFormat/>
    <w:rsid w:val="0041214e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paragraph" w:styleId="Ttulo4">
    <w:name w:val="Heading 4"/>
    <w:basedOn w:val="Normal"/>
    <w:next w:val="Normal"/>
    <w:qFormat/>
    <w:pPr>
      <w:keepNext w:val="true"/>
      <w:spacing w:before="240" w:after="60"/>
      <w:outlineLvl w:val="3"/>
    </w:pPr>
    <w:rPr>
      <w:b/>
      <w:sz w:val="28"/>
      <w:szCs w:val="20"/>
    </w:rPr>
  </w:style>
  <w:style w:type="paragraph" w:styleId="Ttulo5">
    <w:name w:val="Heading 5"/>
    <w:basedOn w:val="Normal"/>
    <w:next w:val="Normal"/>
    <w:qFormat/>
    <w:pPr>
      <w:keepNext w:val="true"/>
      <w:jc w:val="both"/>
      <w:outlineLvl w:val="4"/>
    </w:pPr>
    <w:rPr>
      <w:sz w:val="28"/>
    </w:rPr>
  </w:style>
  <w:style w:type="paragraph" w:styleId="Ttulo6">
    <w:name w:val="Heading 6"/>
    <w:basedOn w:val="Normal"/>
    <w:next w:val="Normal"/>
    <w:qFormat/>
    <w:pPr>
      <w:spacing w:before="240" w:after="60"/>
      <w:outlineLvl w:val="5"/>
    </w:pPr>
    <w:rPr>
      <w:b/>
      <w:sz w:val="22"/>
      <w:szCs w:val="20"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  <w:rPr>
      <w:szCs w:val="20"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szCs w:val="20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sz w:val="22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RodapChar" w:customStyle="1">
    <w:name w:val="Rodapé Char"/>
    <w:link w:val="Rodap"/>
    <w:qFormat/>
    <w:rsid w:val="00443461"/>
    <w:rPr>
      <w:sz w:val="24"/>
      <w:szCs w:val="24"/>
    </w:rPr>
  </w:style>
  <w:style w:type="character" w:styleId="LinkdaInternet" w:customStyle="1">
    <w:name w:val="Link da Internet"/>
    <w:rPr>
      <w:color w:val="0000FF"/>
      <w:u w:val="single"/>
    </w:rPr>
  </w:style>
  <w:style w:type="character" w:styleId="Linkdainternetvisitado" w:customStyle="1">
    <w:name w:val="Link da internet visitado"/>
    <w:qFormat/>
    <w:rPr>
      <w:color w:val="800080"/>
      <w:u w:val="single"/>
    </w:rPr>
  </w:style>
  <w:style w:type="character" w:styleId="CorpodetextoChar" w:customStyle="1">
    <w:name w:val="Corpo de texto Char"/>
    <w:link w:val="Corpodetexto"/>
    <w:qFormat/>
    <w:rsid w:val="00e87ee8"/>
    <w:rPr>
      <w:sz w:val="28"/>
    </w:rPr>
  </w:style>
  <w:style w:type="character" w:styleId="Corpodetexto2Char" w:customStyle="1">
    <w:name w:val="Corpo de texto 2 Char"/>
    <w:link w:val="Corpodetexto2"/>
    <w:qFormat/>
    <w:rsid w:val="00e442f0"/>
    <w:rPr>
      <w:sz w:val="24"/>
      <w:szCs w:val="24"/>
    </w:rPr>
  </w:style>
  <w:style w:type="character" w:styleId="TextodebaloChar" w:customStyle="1">
    <w:name w:val="Texto de balão Char"/>
    <w:link w:val="Textodebalo"/>
    <w:qFormat/>
    <w:rsid w:val="00443461"/>
    <w:rPr>
      <w:rFonts w:ascii="Tahoma" w:hAnsi="Tahoma" w:eastAsia="Batang" w:cs="Tahoma"/>
      <w:sz w:val="16"/>
      <w:szCs w:val="16"/>
    </w:rPr>
  </w:style>
  <w:style w:type="character" w:styleId="Corpodetexto3Char" w:customStyle="1">
    <w:name w:val="Corpo de texto 3 Char"/>
    <w:link w:val="Corpodetexto3"/>
    <w:uiPriority w:val="99"/>
    <w:qFormat/>
    <w:rsid w:val="00c41c38"/>
    <w:rPr>
      <w:sz w:val="16"/>
      <w:szCs w:val="16"/>
    </w:rPr>
  </w:style>
  <w:style w:type="character" w:styleId="Recuodecorpodetexto3Char" w:customStyle="1">
    <w:name w:val="Recuo de corpo de texto 3 Char"/>
    <w:link w:val="Recuodecorpodetexto3"/>
    <w:uiPriority w:val="99"/>
    <w:qFormat/>
    <w:rsid w:val="001425ea"/>
    <w:rPr>
      <w:sz w:val="16"/>
      <w:szCs w:val="16"/>
    </w:rPr>
  </w:style>
  <w:style w:type="character" w:styleId="RecuodecorpodetextoChar" w:customStyle="1">
    <w:name w:val="Recuo de corpo de texto Char"/>
    <w:link w:val="Recuodecorpodetexto"/>
    <w:qFormat/>
    <w:rsid w:val="004e2d4a"/>
    <w:rPr>
      <w:sz w:val="28"/>
      <w:szCs w:val="24"/>
    </w:rPr>
  </w:style>
  <w:style w:type="character" w:styleId="Recuodecorpodetexto2Char" w:customStyle="1">
    <w:name w:val="Recuo de corpo de texto 2 Char"/>
    <w:link w:val="Recuodecorpodetexto2"/>
    <w:qFormat/>
    <w:rsid w:val="00484f99"/>
    <w:rPr>
      <w:sz w:val="24"/>
      <w:szCs w:val="24"/>
    </w:rPr>
  </w:style>
  <w:style w:type="character" w:styleId="CabealhoChar" w:customStyle="1">
    <w:name w:val="Cabeçalho Char"/>
    <w:link w:val="Cabealho"/>
    <w:qFormat/>
    <w:rsid w:val="008130dd"/>
    <w:rPr>
      <w:sz w:val="24"/>
      <w:szCs w:val="24"/>
    </w:rPr>
  </w:style>
  <w:style w:type="character" w:styleId="Ttulo1Char" w:customStyle="1">
    <w:name w:val="Título 1 Char"/>
    <w:link w:val="Ttulo1"/>
    <w:qFormat/>
    <w:rsid w:val="003a0516"/>
    <w:rPr>
      <w:b/>
      <w:bCs/>
      <w:sz w:val="24"/>
      <w:szCs w:val="24"/>
    </w:rPr>
  </w:style>
  <w:style w:type="character" w:styleId="Nfase">
    <w:name w:val="Ênfase"/>
    <w:uiPriority w:val="20"/>
    <w:qFormat/>
    <w:rsid w:val="00ac51dc"/>
    <w:rPr>
      <w:i/>
      <w:iCs/>
    </w:rPr>
  </w:style>
  <w:style w:type="character" w:styleId="SubttuloChar" w:customStyle="1">
    <w:name w:val="Subtítulo Char"/>
    <w:link w:val="Subttulo"/>
    <w:qFormat/>
    <w:rsid w:val="00ac51dc"/>
    <w:rPr>
      <w:rFonts w:ascii="Arial" w:hAnsi="Arial"/>
      <w:kern w:val="2"/>
      <w:sz w:val="22"/>
      <w:szCs w:val="24"/>
      <w:lang w:val="x-none" w:eastAsia="ar-SA"/>
    </w:rPr>
  </w:style>
  <w:style w:type="character" w:styleId="Badge" w:customStyle="1">
    <w:name w:val="badge"/>
    <w:qFormat/>
    <w:rsid w:val="00a03a54"/>
    <w:rPr/>
  </w:style>
  <w:style w:type="character" w:styleId="Appleconvertedspace" w:customStyle="1">
    <w:name w:val="apple-converted-space"/>
    <w:qFormat/>
    <w:rsid w:val="00a03a54"/>
    <w:rPr/>
  </w:style>
  <w:style w:type="character" w:styleId="A3" w:customStyle="1">
    <w:name w:val="A3"/>
    <w:uiPriority w:val="99"/>
    <w:qFormat/>
    <w:rsid w:val="00f20c95"/>
    <w:rPr>
      <w:color w:val="000000"/>
      <w:sz w:val="18"/>
      <w:szCs w:val="18"/>
    </w:rPr>
  </w:style>
  <w:style w:type="character" w:styleId="Ttulo2Char" w:customStyle="1">
    <w:name w:val="Título 2 Char"/>
    <w:basedOn w:val="DefaultParagraphFont"/>
    <w:link w:val="Ttulo2"/>
    <w:qFormat/>
    <w:rsid w:val="0041214e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character" w:styleId="T1" w:customStyle="1">
    <w:name w:val="t1"/>
    <w:basedOn w:val="DefaultParagraphFont"/>
    <w:qFormat/>
    <w:rPr/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qFormat/>
    <w:rPr>
      <w:vertAlign w:val="superscript"/>
    </w:rPr>
  </w:style>
  <w:style w:type="character" w:styleId="Caracteresdenotaderodap">
    <w:name w:val="Caracteres de nota de rodapé"/>
    <w:qFormat/>
    <w:rPr>
      <w:vertAlign w:val="superscript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link w:val="CorpodetextoChar"/>
    <w:pPr>
      <w:jc w:val="both"/>
    </w:pPr>
    <w:rPr>
      <w:sz w:val="28"/>
      <w:szCs w:val="20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widowControl w:val="false"/>
      <w:spacing w:lineRule="exact" w:line="360"/>
      <w:jc w:val="center"/>
    </w:pPr>
    <w:rPr>
      <w:rFonts w:ascii="Arial" w:hAnsi="Arial"/>
      <w:b/>
      <w:sz w:val="32"/>
      <w:szCs w:val="20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Corpodotextorecuado">
    <w:name w:val="Body Text Indent"/>
    <w:basedOn w:val="Normal"/>
    <w:link w:val="RecuodecorpodetextoChar"/>
    <w:pPr>
      <w:ind w:left="-180" w:hanging="0"/>
      <w:jc w:val="both"/>
    </w:pPr>
    <w:rPr>
      <w:sz w:val="2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Rodap">
    <w:name w:val="Footer"/>
    <w:basedOn w:val="Normal"/>
    <w:link w:val="RodapChar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BodyTextIndent2">
    <w:name w:val="Body Text Indent 2"/>
    <w:basedOn w:val="Normal"/>
    <w:link w:val="Recuodecorpodetexto2Char"/>
    <w:qFormat/>
    <w:pPr>
      <w:spacing w:lineRule="auto" w:line="480" w:before="0" w:after="120"/>
      <w:ind w:left="283" w:hanging="0"/>
    </w:pPr>
    <w:rPr/>
  </w:style>
  <w:style w:type="paragraph" w:styleId="BodyText3">
    <w:name w:val="Body Text 3"/>
    <w:basedOn w:val="Normal"/>
    <w:link w:val="Corpodetexto3Char"/>
    <w:uiPriority w:val="99"/>
    <w:qFormat/>
    <w:pPr>
      <w:spacing w:before="0" w:after="120"/>
    </w:pPr>
    <w:rPr>
      <w:sz w:val="16"/>
      <w:szCs w:val="16"/>
    </w:rPr>
  </w:style>
  <w:style w:type="paragraph" w:styleId="BodyTextIndent3">
    <w:name w:val="Body Text Indent 3"/>
    <w:basedOn w:val="Normal"/>
    <w:link w:val="Recuodecorpodetexto3Char"/>
    <w:uiPriority w:val="99"/>
    <w:qFormat/>
    <w:pPr>
      <w:spacing w:before="0" w:after="120"/>
      <w:ind w:left="283" w:hanging="0"/>
    </w:pPr>
    <w:rPr>
      <w:sz w:val="16"/>
      <w:szCs w:val="16"/>
    </w:rPr>
  </w:style>
  <w:style w:type="paragraph" w:styleId="BodyText21" w:customStyle="1">
    <w:name w:val="Body Text 21"/>
    <w:basedOn w:val="Normal"/>
    <w:qFormat/>
    <w:pPr>
      <w:spacing w:lineRule="auto" w:line="360" w:before="10" w:after="10"/>
      <w:jc w:val="both"/>
    </w:pPr>
    <w:rPr>
      <w:rFonts w:ascii="Arial" w:hAnsi="Arial"/>
      <w:szCs w:val="20"/>
    </w:rPr>
  </w:style>
  <w:style w:type="paragraph" w:styleId="NormalWeb">
    <w:name w:val="Normal (Web)"/>
    <w:basedOn w:val="Normal"/>
    <w:qFormat/>
    <w:rsid w:val="007318ed"/>
    <w:pPr/>
    <w:rPr/>
  </w:style>
  <w:style w:type="paragraph" w:styleId="BodyText2">
    <w:name w:val="Body Text 2"/>
    <w:basedOn w:val="Normal"/>
    <w:link w:val="Corpodetexto2Char"/>
    <w:qFormat/>
    <w:rsid w:val="00e442f0"/>
    <w:pPr>
      <w:spacing w:lineRule="auto" w:line="480" w:before="0" w:after="120"/>
    </w:pPr>
    <w:rPr/>
  </w:style>
  <w:style w:type="paragraph" w:styleId="Padro" w:customStyle="1">
    <w:name w:val="Padrão"/>
    <w:qFormat/>
    <w:rsid w:val="00f42112"/>
    <w:pPr>
      <w:widowControl/>
      <w:tabs>
        <w:tab w:val="clear" w:pos="708"/>
        <w:tab w:val="left" w:pos="0" w:leader="none"/>
        <w:tab w:val="left" w:pos="707" w:leader="none"/>
        <w:tab w:val="left" w:pos="1414" w:leader="none"/>
        <w:tab w:val="left" w:pos="2122" w:leader="none"/>
        <w:tab w:val="left" w:pos="2830" w:leader="none"/>
        <w:tab w:val="left" w:pos="3537" w:leader="none"/>
        <w:tab w:val="left" w:pos="4245" w:leader="none"/>
        <w:tab w:val="left" w:pos="4952" w:leader="none"/>
        <w:tab w:val="left" w:pos="5660" w:leader="none"/>
        <w:tab w:val="left" w:pos="6367" w:leader="none"/>
        <w:tab w:val="left" w:pos="7075" w:leader="none"/>
        <w:tab w:val="left" w:pos="7782" w:leader="none"/>
        <w:tab w:val="left" w:pos="8490" w:leader="none"/>
        <w:tab w:val="left" w:pos="9197" w:leader="none"/>
        <w:tab w:val="left" w:pos="9905" w:leader="none"/>
        <w:tab w:val="left" w:pos="10612" w:leader="none"/>
        <w:tab w:val="left" w:pos="11320" w:leader="none"/>
        <w:tab w:val="left" w:pos="12027" w:leader="none"/>
        <w:tab w:val="left" w:pos="12735" w:leader="none"/>
        <w:tab w:val="left" w:pos="13442" w:leader="none"/>
        <w:tab w:val="left" w:pos="14150" w:leader="none"/>
      </w:tabs>
      <w:suppressAutoHyphens w:val="true"/>
      <w:bidi w:val="0"/>
      <w:spacing w:lineRule="auto" w:line="156" w:before="0" w:after="0"/>
      <w:jc w:val="left"/>
    </w:pPr>
    <w:rPr>
      <w:rFonts w:ascii="Arial Unicode MS" w:hAnsi="Arial Unicode MS" w:eastAsia="Arial Unicode MS" w:cs="Arial Unicode MS"/>
      <w:color w:val="000000"/>
      <w:kern w:val="0"/>
      <w:sz w:val="48"/>
      <w:szCs w:val="48"/>
      <w:lang w:val="pt-BR" w:eastAsia="pt-BR" w:bidi="ar-SA"/>
    </w:rPr>
  </w:style>
  <w:style w:type="paragraph" w:styleId="Pa6" w:customStyle="1">
    <w:name w:val="Pa6"/>
    <w:basedOn w:val="Normal"/>
    <w:next w:val="Normal"/>
    <w:qFormat/>
    <w:rsid w:val="002831aa"/>
    <w:pPr>
      <w:spacing w:lineRule="atLeast" w:line="221"/>
    </w:pPr>
    <w:rPr>
      <w:rFonts w:ascii="FGOUYJ+RotisSemiSerif" w:hAnsi="FGOUYJ+RotisSemiSerif"/>
    </w:rPr>
  </w:style>
  <w:style w:type="paragraph" w:styleId="BalloonText">
    <w:name w:val="Balloon Text"/>
    <w:basedOn w:val="Normal"/>
    <w:link w:val="TextodebaloChar"/>
    <w:qFormat/>
    <w:rsid w:val="00443461"/>
    <w:pPr/>
    <w:rPr>
      <w:rFonts w:ascii="Tahoma" w:hAnsi="Tahoma" w:eastAsia="Batang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386f"/>
    <w:pPr>
      <w:spacing w:before="0" w:after="0"/>
      <w:ind w:left="720" w:hanging="0"/>
      <w:contextualSpacing/>
    </w:pPr>
    <w:rPr/>
  </w:style>
  <w:style w:type="paragraph" w:styleId="Artigo" w:customStyle="1">
    <w:name w:val="artigo"/>
    <w:basedOn w:val="Normal"/>
    <w:qFormat/>
    <w:rsid w:val="009b551d"/>
    <w:pPr>
      <w:spacing w:beforeAutospacing="1" w:afterAutospacing="1"/>
    </w:pPr>
    <w:rPr/>
  </w:style>
  <w:style w:type="paragraph" w:styleId="NoSpacing">
    <w:name w:val="No Spacing"/>
    <w:uiPriority w:val="1"/>
    <w:qFormat/>
    <w:rsid w:val="00f71ad6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00000A"/>
      <w:kern w:val="0"/>
      <w:sz w:val="22"/>
      <w:szCs w:val="22"/>
      <w:lang w:val="pt-BR" w:eastAsia="en-US" w:bidi="ar-SA"/>
    </w:rPr>
  </w:style>
  <w:style w:type="paragraph" w:styleId="Subttulo">
    <w:name w:val="Subtitle"/>
    <w:basedOn w:val="Normal"/>
    <w:next w:val="Normal"/>
    <w:link w:val="SubttuloChar"/>
    <w:qFormat/>
    <w:rsid w:val="00ac51dc"/>
    <w:pPr>
      <w:spacing w:lineRule="auto" w:line="276" w:before="120" w:after="120"/>
      <w:ind w:left="1416" w:hanging="0"/>
      <w:jc w:val="both"/>
      <w:outlineLvl w:val="1"/>
    </w:pPr>
    <w:rPr>
      <w:rFonts w:ascii="Arial" w:hAnsi="Arial"/>
      <w:kern w:val="2"/>
      <w:sz w:val="22"/>
      <w:lang w:val="x-none" w:eastAsia="ar-SA"/>
    </w:rPr>
  </w:style>
  <w:style w:type="paragraph" w:styleId="Texto1" w:customStyle="1">
    <w:name w:val="texto1"/>
    <w:basedOn w:val="Normal"/>
    <w:qFormat/>
    <w:rsid w:val="00a0226a"/>
    <w:pPr>
      <w:spacing w:beforeAutospacing="1" w:afterAutospacing="1"/>
    </w:pPr>
    <w:rPr/>
  </w:style>
  <w:style w:type="paragraph" w:styleId="Default" w:customStyle="1">
    <w:name w:val="Default"/>
    <w:qFormat/>
    <w:rsid w:val="00097fe9"/>
    <w:pPr>
      <w:widowControl/>
      <w:suppressAutoHyphens w:val="true"/>
      <w:bidi w:val="0"/>
      <w:spacing w:before="0" w:after="0"/>
      <w:jc w:val="left"/>
    </w:pPr>
    <w:rPr>
      <w:rFonts w:ascii="Palatino Linotype" w:hAnsi="Palatino Linotype" w:eastAsia="Times New Roman" w:cs="Palatino Linotype"/>
      <w:color w:val="000000"/>
      <w:kern w:val="0"/>
      <w:sz w:val="24"/>
      <w:szCs w:val="24"/>
      <w:lang w:val="pt-BR" w:eastAsia="pt-BR" w:bidi="ar-SA"/>
    </w:rPr>
  </w:style>
  <w:style w:type="paragraph" w:styleId="Contedodatabela" w:customStyle="1">
    <w:name w:val="Conteúdo da tabela"/>
    <w:basedOn w:val="Normal"/>
    <w:qFormat/>
    <w:pPr>
      <w:widowControl w:val="false"/>
      <w:suppressLineNumbers/>
      <w:spacing w:lineRule="auto" w:line="252" w:before="0" w:after="160"/>
    </w:pPr>
    <w:rPr>
      <w:rFonts w:ascii="Calibri" w:hAnsi="Calibri" w:eastAsia="Calibri" w:cs="font255"/>
      <w:sz w:val="22"/>
      <w:szCs w:val="22"/>
      <w:lang w:eastAsia="en-US"/>
    </w:rPr>
  </w:style>
  <w:style w:type="paragraph" w:styleId="Standard" w:customStyle="1">
    <w:name w:val="Standard"/>
    <w:qFormat/>
    <w:pPr>
      <w:widowControl/>
      <w:suppressAutoHyphens w:val="true"/>
      <w:bidi w:val="0"/>
      <w:spacing w:lineRule="auto" w:line="276" w:before="0" w:after="200"/>
      <w:jc w:val="left"/>
      <w:textAlignment w:val="baseline"/>
    </w:pPr>
    <w:rPr>
      <w:rFonts w:ascii="Calibri" w:hAnsi="Calibri" w:eastAsia="0" w:cs="0"/>
      <w:color w:val="auto"/>
      <w:kern w:val="0"/>
      <w:sz w:val="20"/>
      <w:szCs w:val="20"/>
      <w:lang w:val="pt-BR" w:eastAsia="pt-BR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7318e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5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5A363-755B-4E63-A44E-967A211A3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Application>LibreOffice/7.0.1.2$Windows_X86_64 LibreOffice_project/7cbcfc562f6eb6708b5ff7d7397325de9e764452</Application>
  <Pages>12</Pages>
  <Words>3360</Words>
  <Characters>18712</Characters>
  <CharactersWithSpaces>21959</CharactersWithSpaces>
  <Paragraphs>140</Paragraphs>
  <Company>LEGISLATIVO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2022-05-17T16:45:00Z</dcterms:created>
  <dc:creator>CAMARA MUNICIPAL DE VEREADORES DE TRES PASSOS</dc:creator>
  <dc:description/>
  <dc:language>pt-BR</dc:language>
  <cp:lastModifiedBy/>
  <cp:lastPrinted>2022-06-07T14:40:40Z</cp:lastPrinted>
  <dcterms:modified xsi:type="dcterms:W3CDTF">2022-06-14T14:07:13Z</dcterms:modified>
  <cp:revision>68</cp:revision>
  <dc:subject/>
  <dc:title>PROJETO DE LEI Nº 001/05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LEGISLATIVO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