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70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l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l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69</w:t>
      </w:r>
      <w:r>
        <w:rPr/>
        <w:t>, de 2022, de sua autoria, que “</w:t>
      </w:r>
      <w:r>
        <w:rPr/>
        <w:t>a</w:t>
      </w:r>
      <w:r>
        <w:rPr/>
        <w:t>ltera a Lei Municipal n</w:t>
      </w:r>
      <w:r>
        <w:rPr>
          <w:strike/>
        </w:rPr>
        <w:t>º</w:t>
      </w:r>
      <w:r>
        <w:rPr/>
        <w:t xml:space="preserve"> 5.523, </w:t>
      </w:r>
      <w:r>
        <w:rPr/>
        <w:t>de 3 de dezembro de 2019, que dispõe sobre a gratificação de difícil acesso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69</w:t>
      </w:r>
      <w:r>
        <w:rPr>
          <w:b/>
          <w:bCs/>
        </w:rPr>
        <w:t xml:space="preserve">, DE </w:t>
      </w:r>
      <w:r>
        <w:rPr>
          <w:b/>
          <w:bCs/>
        </w:rPr>
        <w:t>19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>DE MAIO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Municipal n</w:t>
      </w:r>
      <w:r>
        <w:rPr>
          <w:strike/>
        </w:rPr>
        <w:t>º</w:t>
      </w:r>
      <w:r>
        <w:rPr/>
        <w:t xml:space="preserve"> 5.523, </w:t>
      </w:r>
      <w:r>
        <w:rPr/>
        <w:t>de 3 de dezembro de 2019, que dispõe sobre a gratificação de difícil acesso.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art. 1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5.523, </w:t>
      </w:r>
      <w:r>
        <w:rPr/>
        <w:t>de 20</w:t>
      </w:r>
      <w:r>
        <w:rPr/>
        <w:t>19,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Art.1</w:t>
      </w:r>
      <w:r>
        <w:rPr>
          <w:strike/>
        </w:rPr>
        <w:t>º</w:t>
      </w:r>
      <w:r>
        <w:rPr/>
        <w:t xml:space="preserve"> Fica regulamentada a Gratificação de Difícil Acesso que será paga aos servidores do Quadro de Pessoal, nos termos do art. 86, inciso V, da Lei Complementar n</w:t>
      </w:r>
      <w:r>
        <w:rPr>
          <w:strike/>
        </w:rPr>
        <w:t>º</w:t>
      </w:r>
      <w:r>
        <w:rPr/>
        <w:t xml:space="preserve"> 18, de 16 de agosto de 2011.  </w:t>
      </w:r>
      <w:r>
        <w:rPr/>
        <w:t>(NR)</w:t>
      </w:r>
      <w:r>
        <w:rPr/>
        <w:t>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 xml:space="preserve">Art. </w:t>
      </w:r>
      <w:r>
        <w:rPr/>
        <w:t>2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art. 3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5.523, </w:t>
      </w:r>
      <w:r>
        <w:rPr/>
        <w:t xml:space="preserve">de 2019, </w:t>
      </w:r>
      <w:r>
        <w:rPr/>
        <w:t>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3</w:t>
      </w:r>
      <w:r>
        <w:rPr>
          <w:strike/>
        </w:rPr>
        <w:t>º</w:t>
      </w:r>
      <w:r>
        <w:rPr/>
        <w:t xml:space="preserve"> O servidor municipal lotado em local de difícil acesso perceberá como gratificação o valor proporcional a distância da sede administrativa, considerando-se o valor 0,18 URM por quilômetro, tendo por base a tabela e as referências de quilometragem constante no Anexo I (tabela detalhada) desta Lei.  </w:t>
      </w:r>
      <w:r>
        <w:rPr/>
        <w:t>(NR)”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 xml:space="preserve">Art. </w:t>
      </w:r>
      <w:r>
        <w:rPr/>
        <w:t>3</w:t>
      </w:r>
      <w:r>
        <w:rPr>
          <w:strike/>
        </w:rPr>
        <w:t>º</w:t>
      </w:r>
      <w:r>
        <w:rPr/>
        <w:t xml:space="preserve"> Fica incluída a Escola Municipal de Ensino Fundamental José de Anchieta no </w:t>
      </w:r>
      <w:r>
        <w:rPr/>
        <w:t>A</w:t>
      </w:r>
      <w:r>
        <w:rPr/>
        <w:t>nexo I, que passa a viger com a seguinte redação:</w:t>
      </w:r>
    </w:p>
    <w:p>
      <w:pPr>
        <w:pStyle w:val="Normal"/>
        <w:ind w:firstLine="850"/>
        <w:jc w:val="center"/>
        <w:rPr/>
      </w:pPr>
      <w:r>
        <w:rPr/>
        <w:t>“</w:t>
      </w:r>
      <w:r>
        <w:rPr/>
        <w:t>ANEXO I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tbl>
      <w:tblPr>
        <w:tblW w:w="8535" w:type="dxa"/>
        <w:jc w:val="left"/>
        <w:tblInd w:w="861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4541"/>
        <w:gridCol w:w="1636"/>
        <w:gridCol w:w="2358"/>
      </w:tblGrid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Local de Origem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Distância da Sede Administrativa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Valor estimado em URMs/Dia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ESF BELA VISTA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4,8 KM¹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3,44 URMs/ 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ESF PADRE GONZALES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6,2 KM¹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4,46 URMs/Dia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UNIDADE AVANÇADA DA FLORESTA³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15,2 KM¹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10,94 URMs/Dia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UNIDADE AVANÇADA DA BARRA DA ROMANA³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11 KM¹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7,92 URMs/Dia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ESCOLA MUNICIPAL JOSÉ DE ANCHIETA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4,8 KM²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1,72 URMs/Dia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ESCOLA MUNICIPAL WALLY ELLISA HARTMANN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12 KM²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4,32 URMs /Dia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ESCOLA MUNICIPAL DE EDUCAÇÃO INFANTIL VOVÓ PAULINA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6,2 KM²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1,72 URMs/ 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ESCOLA MUNICIPAL GUIA LOPES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15 KM²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5,40 URMs/ 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ESCOLA DOM JOÃO BECKER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11,5 KM²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4,14 URMs/Dia</w:t>
            </w:r>
          </w:p>
        </w:tc>
      </w:tr>
      <w:tr>
        <w:trPr/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ESCOLA COROINHA DARONCHI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4,5 KM²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1,62 URMs/Dia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*Considerando 22 dias e dois percursos de ida e dois percursos de volta (dois tumos) 2 Considerando 22 dias e um percurso de ida e um de volta (um turno) 3 Atualmente é fornecido transporte público dos ESFs até as respectivas unidades, como é o caso dos profissionais da Unidade Avançada da Floresta e Unidade Avançada da Barra da Romana, que tem disponível pela prefeitura transporte até a sua unidade de trabalho. Caso a prefeitura vier a cancelar o transporte até esses locais, os profissionais que trabalharem nessas unidades e não residirem no local, passarão a ter o direito de recebimento da gratificação de difícil acesso. </w:t>
      </w:r>
      <w:r>
        <w:rPr/>
        <w:t>(NR)”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  <w:t xml:space="preserve">Art. </w:t>
      </w:r>
      <w:r>
        <w:rPr/>
        <w:t>4</w:t>
      </w:r>
      <w:r>
        <w:rPr>
          <w:strike/>
        </w:rPr>
        <w:t>º</w:t>
      </w:r>
      <w:r>
        <w:rPr/>
        <w:t xml:space="preserve"> Os demais dispositivos permanecem inalterados.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  <w:t xml:space="preserve">Art. </w:t>
      </w:r>
      <w:r>
        <w:rPr/>
        <w:t>5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 xml:space="preserve">Art. </w:t>
      </w:r>
      <w:r>
        <w:rPr/>
        <w:t>6</w:t>
      </w:r>
      <w:r>
        <w:rPr>
          <w:strike/>
        </w:rPr>
        <w:t>º</w:t>
      </w:r>
      <w:r>
        <w:rPr/>
        <w:t xml:space="preserve"> Fica</w:t>
      </w:r>
      <w:r>
        <w:rPr/>
        <w:t>s</w:t>
      </w:r>
      <w:r>
        <w:rPr/>
        <w:t xml:space="preserve"> revogado</w:t>
      </w:r>
      <w:r>
        <w:rPr/>
        <w:t>s</w:t>
      </w:r>
      <w:r>
        <w:rPr/>
        <w:t xml:space="preserve"> o inciso I do parágrafo único do art. 2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5.523, </w:t>
      </w:r>
      <w:r>
        <w:rPr/>
        <w:t>de 20</w:t>
      </w:r>
      <w:r>
        <w:rPr/>
        <w:t xml:space="preserve">19; </w:t>
      </w:r>
      <w:r>
        <w:rPr/>
        <w:t>e o</w:t>
      </w:r>
      <w:r>
        <w:rPr/>
        <w:t xml:space="preserve"> parágrafo único do art. 5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5.523, </w:t>
      </w:r>
      <w:r>
        <w:rPr/>
        <w:t>de 2019.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LibreOffice/7.0.1.2$Windows_X86_64 LibreOffice_project/7cbcfc562f6eb6708b5ff7d7397325de9e764452</Application>
  <Pages>3</Pages>
  <Words>581</Words>
  <Characters>2731</Characters>
  <CharactersWithSpaces>3251</CharactersWithSpaces>
  <Paragraphs>58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2022-06-30T09:59:14Z</dcterms:modified>
  <cp:revision>78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