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6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79</w:t>
      </w:r>
      <w:r>
        <w:rPr/>
        <w:t>, de 2022,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até um enfermeiro”,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7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JUNHO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até um enfermeiro.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autorizado a contratar em caráter emergencial, para atender necessidade temporária e por total interesse do serviço público, conforme inciso IX do art. 37 da Constituição Federal, de até um enfermeiro.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contrato será de natureza administrativa, ficando </w:t>
      </w:r>
      <w:r>
        <w:rPr/>
        <w:t>as</w:t>
      </w:r>
      <w:r>
        <w:rPr/>
        <w:t>segurado</w:t>
      </w:r>
      <w:r>
        <w:rPr/>
        <w:t>s</w:t>
      </w:r>
      <w:r>
        <w:rPr/>
        <w:t xml:space="preserve"> ao contratado os direitos previstos </w:t>
      </w:r>
      <w:r>
        <w:rPr/>
        <w:t>§ 2</w:t>
      </w:r>
      <w:r>
        <w:rPr>
          <w:strike/>
        </w:rPr>
        <w:t>º</w:t>
      </w:r>
      <w:r>
        <w:rPr/>
        <w:t xml:space="preserve"> do </w:t>
      </w:r>
      <w:r>
        <w:rPr/>
        <w:t>art. 250 do Regime Jurídico do Município, Lei Complementar n</w:t>
      </w:r>
      <w:r>
        <w:rPr>
          <w:strike/>
        </w:rPr>
        <w:t>º</w:t>
      </w:r>
      <w:r>
        <w:rPr/>
        <w:t xml:space="preserve"> 18, </w:t>
      </w:r>
      <w:r>
        <w:rPr/>
        <w:t xml:space="preserve">de </w:t>
      </w:r>
      <w:r>
        <w:rPr/>
        <w:t xml:space="preserve">2011, bem como, 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 contrato terá vigência de seis meses desde a data de sua assinatura, renovável uma única vez, se necessário, por igual período.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carga horária do contrato será de 40 (quarenta) horas semanais.</w:t>
      </w:r>
    </w:p>
    <w:p>
      <w:pPr>
        <w:pStyle w:val="Normal"/>
        <w:ind w:firstLine="85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A remuneração do profissional </w:t>
      </w:r>
      <w:r>
        <w:rPr/>
        <w:t>de</w:t>
      </w:r>
      <w:r>
        <w:rPr/>
        <w:t xml:space="preserve"> que trata esta lei será Padrão 10, que está prevista na Lei Municipal n</w:t>
      </w:r>
      <w:r>
        <w:rPr>
          <w:strike/>
        </w:rPr>
        <w:t>º</w:t>
      </w:r>
      <w:r>
        <w:rPr/>
        <w:t xml:space="preserve"> 5.496, de 17 de setembro de 2019. </w:t>
      </w:r>
    </w:p>
    <w:p>
      <w:pPr>
        <w:pStyle w:val="Normal"/>
        <w:ind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§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/>
        <w:t xml:space="preserve"> A contratação autorizada por esta lei ocorrerá conforme necessidade emergencial apresentada, observando os dispositivos vigentes.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Para o exercício da função de que trata esta lei, o enfermeiro deve possuir curso </w:t>
      </w:r>
      <w:r>
        <w:rPr/>
        <w:t>s</w:t>
      </w:r>
      <w:r>
        <w:rPr/>
        <w:t xml:space="preserve">uperior e </w:t>
      </w:r>
      <w:r>
        <w:rPr/>
        <w:t>h</w:t>
      </w:r>
      <w:r>
        <w:rPr/>
        <w:t>abilitação legal para o exercício do cargo de enfermeiro, com registro definitivo na entidade de classe.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 candidato ao preenchimento da vaga prevista nesta Lei será selecionado de acordo com a lista de aprovados do Processo Seletivo Simplificado do edital n</w:t>
      </w:r>
      <w:r>
        <w:rPr>
          <w:strike/>
        </w:rPr>
        <w:t>º</w:t>
      </w:r>
      <w:r>
        <w:rPr/>
        <w:t xml:space="preserve"> 61/202</w:t>
      </w:r>
      <w:r>
        <w:rPr/>
        <w:t>1</w:t>
      </w:r>
      <w:r>
        <w:rPr/>
        <w:t>.</w:t>
      </w:r>
    </w:p>
    <w:p>
      <w:pPr>
        <w:pStyle w:val="Normal"/>
        <w:ind w:firstLine="850"/>
        <w:jc w:val="both"/>
        <w:rPr/>
      </w:pPr>
      <w:r>
        <w:rPr/>
        <w:t>.</w:t>
      </w:r>
    </w:p>
    <w:p>
      <w:pPr>
        <w:pStyle w:val="Normal"/>
        <w:ind w:firstLine="850"/>
        <w:jc w:val="both"/>
        <w:rPr/>
      </w:pPr>
      <w:r>
        <w:rPr/>
        <w:t xml:space="preserve"> </w:t>
      </w: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Entidade: 1 - PREFEITURA MUNICIPAL DE TR</w:t>
      </w:r>
      <w:r>
        <w:rPr/>
        <w:t>Ê</w:t>
      </w:r>
      <w:r>
        <w:rPr/>
        <w:t>S PASSOS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Proj./Ativ. 2.077 Manutenção do atendimento ambulatorial e domiciliar da Saúde da Família – ESF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LibreOffice/7.0.1.2$Windows_X86_64 LibreOffice_project/7cbcfc562f6eb6708b5ff7d7397325de9e764452</Application>
  <Pages>2</Pages>
  <Words>448</Words>
  <Characters>2309</Characters>
  <CharactersWithSpaces>2740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2022-07-05T10:27:51Z</dcterms:modified>
  <cp:revision>96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