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8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23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22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103</w:t>
      </w:r>
      <w:r>
        <w:rPr/>
        <w:t>, de 2022,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5.691, de 20 de dezembro de 2021, que dispõe sobre a LOA para o exercício de 2022”,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103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29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JULHO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5.691, de 20 de dezembro de 2021, que dispõe sobre a LOA para o exercício de 2022.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/>
        <w:t>A</w:t>
      </w:r>
      <w:r>
        <w:rPr/>
        <w:t xml:space="preserve">utoriza a abertura de crédito adicional </w:t>
      </w:r>
      <w:r>
        <w:rPr/>
        <w:t>especial</w:t>
      </w:r>
      <w:r>
        <w:rPr/>
        <w:t xml:space="preserve"> no </w:t>
      </w:r>
      <w:r>
        <w:rPr/>
        <w:t>o</w:t>
      </w:r>
      <w:r>
        <w:rPr/>
        <w:t xml:space="preserve">rçamento vigente, conforme segue: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Órgão: 17 – Encargos Especiais e Reserva de Contingência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Ação: 0.018 –Amortização e Encargos da Dívida Pública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Elemento de Despesa: 3.3.91.97.00.00.00.00.0001 – Aporte para Cobertura de Déficit Atuarial R$ 1.926.000,00</w:t>
      </w:r>
    </w:p>
    <w:p>
      <w:pPr>
        <w:pStyle w:val="Normal"/>
        <w:ind w:firstLine="850"/>
        <w:jc w:val="both"/>
        <w:rPr/>
      </w:pPr>
      <w:r>
        <w:rPr/>
        <w:tab/>
        <w:tab/>
        <w:tab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Servirá para cobertura das despesas abertas no art. 1</w:t>
      </w:r>
      <w:r>
        <w:rPr>
          <w:strike/>
        </w:rPr>
        <w:t>º</w:t>
      </w:r>
      <w:r>
        <w:rPr/>
        <w:t xml:space="preserve"> o seguinte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Órgão: 17 – Encargos Especiais e Reserva de Contingência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Ação: 0.018 – Amortização e Encargos da Dívida Pública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Elemento de Despesa – 712 – 3.1.91.13.00.00.00.00.0001 – Obrigações Patronais R$ 1.926.000,00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Application>LibreOffice/7.0.1.2$Windows_X86_64 LibreOffice_project/7cbcfc562f6eb6708b5ff7d7397325de9e764452</Application>
  <Pages>2</Pages>
  <Words>270</Words>
  <Characters>1404</Characters>
  <CharactersWithSpaces>1668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2022-08-23T11:17:01Z</cp:lastPrinted>
  <dcterms:modified xsi:type="dcterms:W3CDTF">2022-08-23T11:16:55Z</dcterms:modified>
  <cp:revision>178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