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221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 de setembro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111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Poder Executivo proceder na alteração da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5496/2019,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envio a esta Casa Legislativa dos seguintes documentos, com base na orientação técnica: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1.-) P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révia dotação orçamentária, suficiente para atender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à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 projeções de despesa de pessoal e aos acréscimos dela decorrentes,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na forma do art. 169, § 1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I e II, da CF/88.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2.-) Por se tratar da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expansão de uma ação governamental, na forma do art. 16 da LC 101/2000, necessário também que esteja o PL acompanhado da estimativa de impacto financeiro no exercício que entrará em vigor e nos dois subsequentes, bem com a declaração do ordenador da despesa de que o aumento tem adequação orçamentária e financeira com 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LOA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e compatibilidade com 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PPA e LDO.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LibreOffice/7.0.1.2$Windows_X86_64 LibreOffice_project/7cbcfc562f6eb6708b5ff7d7397325de9e764452</Application>
  <Pages>1</Pages>
  <Words>213</Words>
  <Characters>1110</Characters>
  <CharactersWithSpaces>1333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2022-08-05T14:51:41Z</cp:lastPrinted>
  <dcterms:modified xsi:type="dcterms:W3CDTF">2022-09-02T10:47:47Z</dcterms:modified>
  <cp:revision>139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