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-225"/>
        <w:tblW w:w="16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14676"/>
      </w:tblGrid>
      <w:tr w:rsidR="00A6082B" w:rsidRPr="00A6082B" w:rsidTr="00A6082B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A6082B" w:rsidRPr="00A6082B" w:rsidRDefault="00A6082B" w:rsidP="00A60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A6082B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t-BR"/>
              </w:rPr>
              <w:t>Criação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A6082B" w:rsidRPr="00A6082B" w:rsidRDefault="00A6082B" w:rsidP="00A6082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</w:pPr>
            <w:r w:rsidRPr="00A6082B"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  <w:t>04/10/2022</w:t>
            </w:r>
          </w:p>
        </w:tc>
      </w:tr>
      <w:tr w:rsidR="00A6082B" w:rsidRPr="00A6082B" w:rsidTr="00A6082B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A6082B" w:rsidRPr="00A6082B" w:rsidRDefault="00A6082B" w:rsidP="00A60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t-BR"/>
              </w:rPr>
            </w:pPr>
            <w:r w:rsidRPr="00A6082B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t-BR"/>
              </w:rPr>
              <w:t>Prazo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A6082B" w:rsidRPr="00A6082B" w:rsidRDefault="00A6082B" w:rsidP="00A6082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</w:pPr>
            <w:r w:rsidRPr="00A6082B"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  <w:t>07/10/2022</w:t>
            </w:r>
          </w:p>
        </w:tc>
      </w:tr>
      <w:tr w:rsidR="00A6082B" w:rsidRPr="00A6082B" w:rsidTr="00A6082B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A6082B" w:rsidRPr="00A6082B" w:rsidRDefault="00A6082B" w:rsidP="00A60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t-BR"/>
              </w:rPr>
            </w:pPr>
            <w:r w:rsidRPr="00A6082B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A6082B" w:rsidRPr="00A6082B" w:rsidRDefault="00A6082B" w:rsidP="00A6082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</w:pPr>
            <w:r w:rsidRPr="00A6082B"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  <w:t>Jurídico</w:t>
            </w:r>
          </w:p>
        </w:tc>
      </w:tr>
      <w:tr w:rsidR="00A6082B" w:rsidRPr="00A6082B" w:rsidTr="00A6082B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A6082B" w:rsidRPr="00A6082B" w:rsidRDefault="00A6082B" w:rsidP="00A60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t-BR"/>
              </w:rPr>
            </w:pPr>
            <w:r w:rsidRPr="00A6082B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t-BR"/>
              </w:rPr>
              <w:t>Interessado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A6082B" w:rsidRPr="00A6082B" w:rsidRDefault="00A6082B" w:rsidP="00A6082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</w:pPr>
            <w:r w:rsidRPr="00A6082B"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  <w:t>CRISTINA KÄFER</w:t>
            </w:r>
          </w:p>
        </w:tc>
      </w:tr>
      <w:tr w:rsidR="00A6082B" w:rsidRPr="00A6082B" w:rsidTr="00A6082B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A6082B" w:rsidRPr="00A6082B" w:rsidRDefault="00A6082B" w:rsidP="00A60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t-BR"/>
              </w:rPr>
            </w:pPr>
            <w:r w:rsidRPr="00A6082B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A6082B" w:rsidRPr="00A6082B" w:rsidRDefault="00A6082B" w:rsidP="00A6082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</w:pPr>
            <w:r w:rsidRPr="00A6082B"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  <w:t>Encerrado</w:t>
            </w:r>
          </w:p>
        </w:tc>
      </w:tr>
      <w:tr w:rsidR="00A6082B" w:rsidRPr="00A6082B" w:rsidTr="00A6082B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A6082B" w:rsidRPr="00A6082B" w:rsidRDefault="00A6082B" w:rsidP="00A60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t-BR"/>
              </w:rPr>
            </w:pPr>
            <w:r w:rsidRPr="00A6082B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t-BR"/>
              </w:rPr>
              <w:t>Consulta do Cliente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A6082B" w:rsidRPr="00A6082B" w:rsidRDefault="00A6082B" w:rsidP="00A6082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</w:pPr>
            <w:r w:rsidRPr="00A6082B"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  <w:t xml:space="preserve">Solicitamos orientação técnica quanto ao seguinte PL de origem no Legislativo: PLL 14/22 - Denomina os pavilhões da agricultura localizados no Parque de Exposições Dr. </w:t>
            </w:r>
            <w:proofErr w:type="spellStart"/>
            <w:r w:rsidRPr="00A6082B"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  <w:t>Egon</w:t>
            </w:r>
            <w:proofErr w:type="spellEnd"/>
            <w:r w:rsidRPr="00A6082B"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  <w:t xml:space="preserve"> Júlio </w:t>
            </w:r>
            <w:proofErr w:type="spellStart"/>
            <w:r w:rsidRPr="00A6082B"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  <w:t>Goelzer</w:t>
            </w:r>
            <w:proofErr w:type="spellEnd"/>
            <w:r w:rsidRPr="00A6082B"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  <w:t xml:space="preserve"> - FEICAP de ''Centro de Eventos Agropecuários Ari </w:t>
            </w:r>
            <w:proofErr w:type="spellStart"/>
            <w:r w:rsidRPr="00A6082B"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  <w:t>Freling</w:t>
            </w:r>
            <w:proofErr w:type="spellEnd"/>
            <w:r w:rsidRPr="00A6082B"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  <w:t xml:space="preserve">''. </w:t>
            </w:r>
            <w:proofErr w:type="spellStart"/>
            <w:r w:rsidRPr="00A6082B"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  <w:t>Att</w:t>
            </w:r>
            <w:proofErr w:type="spellEnd"/>
            <w:r w:rsidRPr="00A6082B">
              <w:rPr>
                <w:rFonts w:ascii="Arial" w:eastAsia="Times New Roman" w:hAnsi="Arial" w:cs="Arial"/>
                <w:color w:val="212529"/>
                <w:sz w:val="20"/>
                <w:szCs w:val="20"/>
                <w:lang w:eastAsia="pt-BR"/>
              </w:rPr>
              <w:t xml:space="preserve"> Câmara de Vereadores Três Passos/RS\E-mail alternativo para contato: cristinakafer@yahoo.com.br Telefone para contato: 55 3522-1210\Celular para contato: -</w:t>
            </w:r>
          </w:p>
        </w:tc>
      </w:tr>
      <w:tr w:rsidR="00A6082B" w:rsidRPr="00A6082B" w:rsidTr="00A6082B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A6082B" w:rsidRPr="00A6082B" w:rsidRDefault="00A6082B" w:rsidP="00A60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eastAsia="pt-BR"/>
              </w:rPr>
            </w:pPr>
            <w:r w:rsidRPr="00A6082B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eastAsia="pt-BR"/>
              </w:rPr>
              <w:t>Arquivos enviados pelo cliente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A6082B" w:rsidRPr="00A6082B" w:rsidRDefault="00A6082B" w:rsidP="00A6082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eastAsia="pt-BR"/>
              </w:rPr>
            </w:pPr>
            <w:hyperlink r:id="rId4" w:tgtFrame="_blank" w:history="1">
              <w:r w:rsidRPr="00A6082B">
                <w:rPr>
                  <w:rFonts w:ascii="Arial" w:eastAsia="Times New Roman" w:hAnsi="Arial" w:cs="Arial"/>
                  <w:color w:val="00314F"/>
                  <w:sz w:val="21"/>
                  <w:szCs w:val="21"/>
                  <w:u w:val="single"/>
                  <w:lang w:eastAsia="pt-BR"/>
                </w:rPr>
                <w:t>Arquivo 1</w:t>
              </w:r>
            </w:hyperlink>
          </w:p>
        </w:tc>
      </w:tr>
    </w:tbl>
    <w:p w:rsidR="00A6082B" w:rsidRDefault="00A6082B" w:rsidP="00A6082B">
      <w:pPr>
        <w:pStyle w:val="NormalWeb"/>
        <w:spacing w:before="0" w:beforeAutospacing="0" w:after="288" w:afterAutospacing="0"/>
        <w:jc w:val="both"/>
        <w:rPr>
          <w:rStyle w:val="Forte"/>
          <w:rFonts w:ascii="Arial" w:hAnsi="Arial" w:cs="Arial"/>
          <w:color w:val="707070"/>
          <w:sz w:val="21"/>
          <w:szCs w:val="21"/>
        </w:rPr>
      </w:pPr>
    </w:p>
    <w:p w:rsidR="00A6082B" w:rsidRDefault="00A6082B" w:rsidP="00A6082B">
      <w:pPr>
        <w:pStyle w:val="NormalWeb"/>
        <w:spacing w:before="0" w:beforeAutospacing="0" w:after="288" w:afterAutospacing="0"/>
        <w:jc w:val="both"/>
        <w:rPr>
          <w:rFonts w:ascii="Arial" w:hAnsi="Arial" w:cs="Arial"/>
          <w:color w:val="707070"/>
          <w:sz w:val="21"/>
          <w:szCs w:val="21"/>
        </w:rPr>
      </w:pPr>
      <w:r>
        <w:rPr>
          <w:rStyle w:val="Forte"/>
          <w:rFonts w:ascii="Arial" w:hAnsi="Arial" w:cs="Arial"/>
          <w:color w:val="707070"/>
          <w:sz w:val="21"/>
          <w:szCs w:val="21"/>
        </w:rPr>
        <w:t>Prezado cliente.</w:t>
      </w:r>
    </w:p>
    <w:p w:rsidR="00A6082B" w:rsidRDefault="00A6082B" w:rsidP="00A6082B">
      <w:pPr>
        <w:pStyle w:val="NormalWeb"/>
        <w:spacing w:before="0" w:beforeAutospacing="0" w:after="288" w:afterAutospacing="0"/>
        <w:jc w:val="both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t>A matéria é de interesse local, conforme o art. 30, I, da Constituição Federal.</w:t>
      </w:r>
    </w:p>
    <w:p w:rsidR="00A6082B" w:rsidRDefault="00A6082B" w:rsidP="00A6082B">
      <w:pPr>
        <w:pStyle w:val="NormalWeb"/>
        <w:spacing w:before="0" w:beforeAutospacing="0" w:after="288" w:afterAutospacing="0"/>
        <w:jc w:val="both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t xml:space="preserve">No mais, a partir do Tema de Repercussão Geral </w:t>
      </w:r>
      <w:proofErr w:type="gramStart"/>
      <w:r>
        <w:rPr>
          <w:rFonts w:ascii="Arial" w:hAnsi="Arial" w:cs="Arial"/>
          <w:color w:val="707070"/>
          <w:sz w:val="21"/>
          <w:szCs w:val="21"/>
        </w:rPr>
        <w:t>n.º</w:t>
      </w:r>
      <w:proofErr w:type="gramEnd"/>
      <w:r>
        <w:rPr>
          <w:rFonts w:ascii="Arial" w:hAnsi="Arial" w:cs="Arial"/>
          <w:color w:val="707070"/>
          <w:sz w:val="21"/>
          <w:szCs w:val="21"/>
        </w:rPr>
        <w:t xml:space="preserve"> 1.070, o Supremo Tribunal Federal definiu que tanto Vereadores quanto o Prefeito podem, concorrentemente, denominar vias, prédios e logradouros públicos.</w:t>
      </w:r>
    </w:p>
    <w:p w:rsidR="00A6082B" w:rsidRDefault="00A6082B" w:rsidP="00A6082B">
      <w:pPr>
        <w:pStyle w:val="NormalWeb"/>
        <w:spacing w:before="0" w:beforeAutospacing="0" w:after="288" w:afterAutospacing="0"/>
        <w:jc w:val="both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t>Portanto, sob a ótica da iniciativa e da competência municipal, nada obsta a proposta seguir adiante.</w:t>
      </w:r>
    </w:p>
    <w:p w:rsidR="00A6082B" w:rsidRDefault="00A6082B" w:rsidP="00A6082B">
      <w:pPr>
        <w:pStyle w:val="NormalWeb"/>
        <w:spacing w:before="0" w:beforeAutospacing="0" w:after="288" w:afterAutospacing="0"/>
        <w:jc w:val="both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t>TODAVIA, algumas questões do ponto de vista da legalidade necessitam ser consideradas.</w:t>
      </w:r>
    </w:p>
    <w:p w:rsidR="00A6082B" w:rsidRDefault="00A6082B" w:rsidP="00A6082B">
      <w:pPr>
        <w:pStyle w:val="NormalWeb"/>
        <w:spacing w:before="0" w:beforeAutospacing="0" w:after="288" w:afterAutospacing="0"/>
        <w:jc w:val="both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t>Por exemplo, necessária a confirmação de existência de lei municipal que regulamente a denominação de espaços públicos, antes mais nada, pois, em busca na base legislativa municipal, não foi possível localizar tal norma. Nesse sentido, impõe-se uma diligência requisitando ao Poder Executivo, via ofício, informações sobre a existência de lei com esse conteúdo.</w:t>
      </w:r>
    </w:p>
    <w:p w:rsidR="00A6082B" w:rsidRDefault="00A6082B" w:rsidP="00A6082B">
      <w:pPr>
        <w:pStyle w:val="NormalWeb"/>
        <w:spacing w:before="0" w:beforeAutospacing="0" w:after="288" w:afterAutospacing="0"/>
        <w:jc w:val="both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t>Caso exista tal norma, é preciso verificar os seus ditames e enquadrar a proposição aos seus termos como condição de viabilidade técnica.</w:t>
      </w:r>
    </w:p>
    <w:p w:rsidR="00A6082B" w:rsidRDefault="00A6082B" w:rsidP="00A6082B">
      <w:pPr>
        <w:pStyle w:val="NormalWeb"/>
        <w:spacing w:before="0" w:beforeAutospacing="0" w:after="288" w:afterAutospacing="0"/>
        <w:jc w:val="both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t xml:space="preserve">Outro ponto é confirmação de que o bem a ser denominado encontra-se devidamente oficializado e pertencente ao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patrimonio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público municipal, pois não é possível o batismo de um bem que seja pertencente a outro ente federado ou mesmo de particular.</w:t>
      </w:r>
    </w:p>
    <w:p w:rsidR="00A6082B" w:rsidRDefault="00A6082B" w:rsidP="00A6082B">
      <w:pPr>
        <w:pStyle w:val="NormalWeb"/>
        <w:spacing w:before="0" w:beforeAutospacing="0" w:after="288" w:afterAutospacing="0"/>
        <w:jc w:val="both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t>Ainda, destaca-se que a proposta em comento não se encontra acompanhada da certidão de óbito do homenageado. Necessário assim diligenciar com o seu autor para que seja acostada junto ao respectivo processo legislativo se tal documento não faz parte dos que o instruem.</w:t>
      </w:r>
    </w:p>
    <w:p w:rsidR="00A6082B" w:rsidRDefault="00A6082B" w:rsidP="00A6082B">
      <w:pPr>
        <w:pStyle w:val="NormalWeb"/>
        <w:spacing w:before="0" w:beforeAutospacing="0" w:after="288" w:afterAutospacing="0"/>
        <w:jc w:val="both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t>Confirmados esses pontos, a proposta conquista então lastro de legalidade para tramitar legislativamente sem obstáculos, cabendo o mérito ao Plenário.</w:t>
      </w:r>
    </w:p>
    <w:p w:rsidR="00A6082B" w:rsidRDefault="00A6082B" w:rsidP="00A6082B">
      <w:pPr>
        <w:pStyle w:val="NormalWeb"/>
        <w:spacing w:before="0" w:beforeAutospacing="0" w:after="288" w:afterAutospacing="0"/>
        <w:jc w:val="both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t>Sendo essas as considerações, permanecemos à disposição.</w:t>
      </w:r>
    </w:p>
    <w:p w:rsidR="00A6082B" w:rsidRDefault="00A6082B" w:rsidP="00A6082B">
      <w:pPr>
        <w:pStyle w:val="NormalWeb"/>
        <w:spacing w:before="0" w:beforeAutospacing="0" w:after="288" w:afterAutospacing="0"/>
        <w:jc w:val="both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t xml:space="preserve">At. </w:t>
      </w:r>
      <w:proofErr w:type="gramStart"/>
      <w:r>
        <w:rPr>
          <w:rFonts w:ascii="Arial" w:hAnsi="Arial" w:cs="Arial"/>
          <w:color w:val="707070"/>
          <w:sz w:val="21"/>
          <w:szCs w:val="21"/>
        </w:rPr>
        <w:t>te</w:t>
      </w:r>
      <w:proofErr w:type="gramEnd"/>
    </w:p>
    <w:p w:rsidR="00A6082B" w:rsidRDefault="00A6082B" w:rsidP="00A6082B">
      <w:pPr>
        <w:pStyle w:val="NormalWeb"/>
        <w:spacing w:before="0" w:beforeAutospacing="0" w:after="288" w:afterAutospacing="0"/>
        <w:jc w:val="both"/>
        <w:rPr>
          <w:rFonts w:ascii="Arial" w:hAnsi="Arial" w:cs="Arial"/>
          <w:color w:val="707070"/>
          <w:sz w:val="21"/>
          <w:szCs w:val="21"/>
        </w:rPr>
      </w:pPr>
      <w:r>
        <w:rPr>
          <w:rStyle w:val="Forte"/>
          <w:rFonts w:ascii="Arial" w:hAnsi="Arial" w:cs="Arial"/>
          <w:color w:val="707070"/>
          <w:sz w:val="21"/>
          <w:szCs w:val="21"/>
        </w:rPr>
        <w:t>THIAGO ARNAULD DA SILVA,</w:t>
      </w:r>
      <w:r>
        <w:rPr>
          <w:rFonts w:ascii="Arial" w:hAnsi="Arial" w:cs="Arial"/>
          <w:color w:val="707070"/>
          <w:sz w:val="21"/>
          <w:szCs w:val="21"/>
        </w:rPr>
        <w:t> advogado e consultor do IGAM;</w:t>
      </w:r>
    </w:p>
    <w:p w:rsidR="00A6082B" w:rsidRDefault="00A6082B" w:rsidP="00A6082B">
      <w:pPr>
        <w:pStyle w:val="NormalWeb"/>
        <w:spacing w:before="0" w:beforeAutospacing="0" w:after="288" w:afterAutospacing="0"/>
        <w:jc w:val="both"/>
        <w:rPr>
          <w:rFonts w:ascii="Arial" w:hAnsi="Arial" w:cs="Arial"/>
          <w:color w:val="707070"/>
          <w:sz w:val="21"/>
          <w:szCs w:val="21"/>
        </w:rPr>
      </w:pPr>
      <w:r>
        <w:rPr>
          <w:rStyle w:val="Forte"/>
          <w:rFonts w:ascii="Arial" w:hAnsi="Arial" w:cs="Arial"/>
          <w:color w:val="707070"/>
          <w:sz w:val="21"/>
          <w:szCs w:val="21"/>
        </w:rPr>
        <w:t>EVERTON M. PAIM,</w:t>
      </w:r>
      <w:r>
        <w:rPr>
          <w:rFonts w:ascii="Arial" w:hAnsi="Arial" w:cs="Arial"/>
          <w:color w:val="707070"/>
          <w:sz w:val="21"/>
          <w:szCs w:val="21"/>
        </w:rPr>
        <w:t> advogado e consultor do IGAM.</w:t>
      </w:r>
    </w:p>
    <w:p w:rsidR="00956171" w:rsidRDefault="00956171"/>
    <w:sectPr w:rsidR="00956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2B"/>
    <w:rsid w:val="00956171"/>
    <w:rsid w:val="00A6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21E8"/>
  <w15:chartTrackingRefBased/>
  <w15:docId w15:val="{7454ECFD-55BC-42A8-A5B7-366F2585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082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60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gam.com.br/upload/intranet/processo/2/7oI9dGLMJm5umwA27zYomJm73hemEXj2hBaRY1Ph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Zimpel</dc:creator>
  <cp:keywords/>
  <dc:description/>
  <cp:lastModifiedBy>Caroline Zimpel</cp:lastModifiedBy>
  <cp:revision>2</cp:revision>
  <dcterms:created xsi:type="dcterms:W3CDTF">2022-10-10T13:02:00Z</dcterms:created>
  <dcterms:modified xsi:type="dcterms:W3CDTF">2022-10-10T13:02:00Z</dcterms:modified>
</cp:coreProperties>
</file>