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8</w:t>
      </w:r>
      <w:r>
        <w:rPr>
          <w:rFonts w:ascii="Arial" w:hAnsi="Arial"/>
          <w:b w:val="false"/>
          <w:bCs w:val="false"/>
        </w:rPr>
        <w:t>5/22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23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 Comissão de Orçamento e Finanças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40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estima a receita e fixa a despesa para o exercício financeiro de 2023,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o envio a esta Casa Legislativa dos seguintes documentos/informações, com base na orientação técnica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do Igam (cópia em anexo):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1) Anexos orçamentários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 1, 2, 6, 7, 8 e 9, da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4.320, de 1964.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2) Demonstrativo da Estimativa e Compensação da Renúncia da Receita (LRF, art. 5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inciso II).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3) Demonstrativo da Margem de Expansão das Despesas Obrigatórias de Caráter Continuado (LRF, art. 5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inciso II).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4) Anexo de compatibilidade do Orçamento com o Anexo de Metas Fiscais (LRF, art. 5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I).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LibreOffice/7.4.2.3$Windows_X86_64 LibreOffice_project/382eef1f22670f7f4118c8c2dd222ec7ad009daf</Application>
  <AppVersion>15.0000</AppVersion>
  <DocSecurity>0</DocSecurity>
  <Pages>1</Pages>
  <Words>190</Words>
  <Characters>987</Characters>
  <CharactersWithSpaces>1182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2022-11-23T21:02:56Z</cp:lastPrinted>
  <dcterms:modified xsi:type="dcterms:W3CDTF">2022-11-23T21:03:16Z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