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11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14 de fevereiro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13</w:t>
      </w:r>
      <w:r>
        <w:rPr/>
        <w:t xml:space="preserve"> de </w:t>
      </w:r>
      <w:r>
        <w:rPr/>
        <w:t>fevereiro</w:t>
      </w:r>
      <w:r>
        <w:rPr/>
        <w:t xml:space="preserve">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5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5.496, de 17 de setembro de 2019, para fixar o padrão/piso salarial dos Servidores Públicos ocupantes do Cargo de Agente de Combate </w:t>
      </w:r>
      <w:r>
        <w:rPr/>
        <w:t>a</w:t>
      </w:r>
      <w:r>
        <w:rPr/>
        <w:t xml:space="preserve"> Endemias e dá outras providências”,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5</w:t>
      </w:r>
      <w:r>
        <w:rPr>
          <w:b/>
          <w:bCs/>
        </w:rPr>
        <w:t>, DE 11 DE JANEIRO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5.496, de 17 de setembro de 2019, para fixar o padrão/piso salarial dos Servidores Públicos ocupantes do Cargo de Agente de Combate </w:t>
      </w:r>
      <w:r>
        <w:rPr/>
        <w:t>a</w:t>
      </w:r>
      <w:r>
        <w:rPr/>
        <w:t xml:space="preserve"> Endemias e dá outras providências.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  <w:t>Art. 1</w:t>
      </w:r>
      <w:r>
        <w:rPr>
          <w:rFonts w:cs="Calibri"/>
          <w:b w:val="false"/>
          <w:bCs w:val="false"/>
          <w:strike/>
          <w:sz w:val="24"/>
          <w:szCs w:val="24"/>
        </w:rPr>
        <w:t>º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 w:cstheme="minorHAnsi"/>
          <w:b w:val="false"/>
          <w:bCs w:val="false"/>
          <w:sz w:val="24"/>
          <w:szCs w:val="24"/>
        </w:rPr>
        <w:t>O anexo da Lei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5.496, de 17 de setembro de 2019, passará a viger com a seguinte redação: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“</w:t>
      </w:r>
      <w:r>
        <w:rPr>
          <w:rFonts w:cs="Calibri" w:cstheme="minorHAnsi"/>
          <w:b w:val="false"/>
          <w:bCs w:val="false"/>
          <w:sz w:val="24"/>
          <w:szCs w:val="24"/>
        </w:rPr>
        <w:t>.........…………….............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CARGO – AGENTE DE COMBATE </w:t>
      </w:r>
      <w:r>
        <w:rPr>
          <w:rFonts w:cs="Calibri" w:cstheme="minorHAnsi"/>
          <w:b w:val="false"/>
          <w:bCs w:val="false"/>
          <w:sz w:val="24"/>
          <w:szCs w:val="24"/>
        </w:rPr>
        <w:t>A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ENDEMIAS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SERVIÇOS –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JORNADA DE TRABALHO – 200 horas mensalmente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NÍVEL – Simples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PADRÃO – Piso Salarial Profissional Nacional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R$ 2.604,00 (dois mil, seiscentos e quatro reais)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...........……………............”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As despesas decorrentes desta lei correrão por conta de dotações orçamentárias da União, conforme repasse ao Município.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Parágrafo único. Os valores repassados pela União não serão computados como gastos com pessoal, para fins de cumprimento dos limites da </w:t>
      </w:r>
      <w:r>
        <w:rPr>
          <w:rFonts w:cs="Calibri" w:cstheme="minorHAnsi"/>
          <w:b w:val="false"/>
          <w:bCs w:val="false"/>
          <w:sz w:val="24"/>
          <w:szCs w:val="24"/>
        </w:rPr>
        <w:t>Lei Complementar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101, </w:t>
      </w:r>
      <w:r>
        <w:rPr>
          <w:rFonts w:cs="Calibri" w:cstheme="minorHAnsi"/>
          <w:b w:val="false"/>
          <w:bCs w:val="false"/>
          <w:sz w:val="24"/>
          <w:szCs w:val="24"/>
        </w:rPr>
        <w:t>de 2000</w:t>
      </w:r>
      <w:r>
        <w:rPr>
          <w:rFonts w:cs="Calibri" w:cstheme="minorHAnsi"/>
          <w:b w:val="false"/>
          <w:bCs w:val="false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3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As demais disposições da Lei Municipal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5.496, de 17 de setembro de 2019, permanecem inalteradas.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4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As despesas decorrentes da aplicação da presente Lei terão suporte nas dotações consignadas na Lei Orçamentária Anual.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5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Esta Lei entra em vigor na data de sua publicação, retroagindo seus efeitos a </w:t>
      </w:r>
      <w:r>
        <w:rPr>
          <w:rFonts w:cs="Calibri" w:cstheme="minorHAnsi"/>
          <w:b w:val="false"/>
          <w:bCs w:val="false"/>
          <w:sz w:val="24"/>
          <w:szCs w:val="24"/>
        </w:rPr>
        <w:t>1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de janeiro de 2023.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Application>LibreOffice/7.4.2.3$Windows_X86_64 LibreOffice_project/382eef1f22670f7f4118c8c2dd222ec7ad009daf</Application>
  <AppVersion>15.0000</AppVersion>
  <Pages>2</Pages>
  <Words>346</Words>
  <Characters>1794</Characters>
  <CharactersWithSpaces>2125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2023-02-14T14:31:51Z</cp:lastPrinted>
  <dcterms:modified xsi:type="dcterms:W3CDTF">2023-02-14T14:31:28Z</dcterms:modified>
  <cp:revision>158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