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17 DE 2023</w:t>
      </w:r>
    </w:p>
    <w:p>
      <w:pPr>
        <w:pStyle w:val="Normal"/>
        <w:jc w:val="both"/>
        <w:rPr/>
      </w:pPr>
      <w:r>
        <w:rPr/>
        <w:t>Em 23 de fevereiro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22 de fevereiro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13, de 2023, de sua autoria, que “autoriza o Poder Executivo Municipal a contratar temporariamente e sob regime emergencial e de excepcional interesse público até dez operadores de máquinas rodoviárias”,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13, DE 31 DE JANEIRO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Municipal a contratar temporariamente e sob regime emergencial e de excepcional interesse público até dez operadores de máquinas rodoviárias.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  <w:t>Art. 1</w:t>
      </w:r>
      <w:r>
        <w:rPr>
          <w:rFonts w:cs="Calibri"/>
          <w:b w:val="false"/>
          <w:bCs w:val="false"/>
          <w:strike/>
          <w:sz w:val="24"/>
          <w:szCs w:val="24"/>
        </w:rPr>
        <w:t>º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 w:cstheme="minorHAnsi"/>
          <w:b w:val="false"/>
          <w:bCs w:val="false"/>
          <w:sz w:val="24"/>
          <w:szCs w:val="24"/>
        </w:rPr>
        <w:t>Para atender à necessidade temporária e de excepcional interesse público, o Poder Executivo Municipal fica autorizado a contratar, em caráter emergencial, até dez operadores de máquinas rodoviárias.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1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Os contratos serão de natureza administrativa, ficando assegurados aos contratados os direitos previstos no §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do art. 250 do Regime Jurídico do Município, Lei Complementar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18, de 2011.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 contrato terá vigência de um ano desde a data de sua assinatura, renovável uma única vez, se necessário, por igual período.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3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 carga horária do contrato será de 44 (quarenta e quatro) horas semanais.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4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 remuneração do profissional que trata esta lei está prevista no Plano de Classificação de Cargos e Funções do Município de Três Passos, Lei Municipal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5.496, de 2019.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5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As contratações autorizadas por esta lei ocorrerão conforme necessidade emergencial apresentada, observando o número total estabelecido e os demais dispositivos vigentes na Lei.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Para o exercício da função de que trata esta lei, o operador de máquina rodoviária deve possuir ensino fundamental completo e Habilitação Profissional Carteira Nacional de Habilitação, categoria C.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3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 candidato ao preenchimento da vaga prevista nesta Lei será selecionado por Processo Seletivo, regulamentado por edital.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4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As despesas decorrentes da presente lei correrão à conta das dotações orçamentárias das seguintes Secretarias: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Órgão: 06.001 Secretaria Municipal de Obras e Viação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Proj./Ativ. 2.006 Manutenção da Secretaria de Obras e Viação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3.1.90.11.00.00.00.00 Vencimentos e Vantagens Fixas - Pessoal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1.500.0000.0000 – Recursos Não Vinculados de Impostos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Órgão: 07.001 Secretaria Municipal de Transportes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Proj./Ativ. 2.007 Manutenção da Secretaria de Transportes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3.1.90.11.00.00.00.00 Vencimentos e Vantagens Fixas - Pessoal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1.500.0000.0000 – Recursos Não Vinculados de Impostos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Órgão: 10.001 Secretaria Municipal de Agricultura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Proj./Ativ. 2.010 Manutenção da Secretaria de Agricultura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3.1.90.11.00.00.00.00 Vencimentos e Vantagens Fixas - Pessoal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1.500.0000.0000 – Recursos Não Vinculados de Impostos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5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Application>LibreOffice/7.4.2.3$Windows_X86_64 LibreOffice_project/382eef1f22670f7f4118c8c2dd222ec7ad009daf</Application>
  <AppVersion>15.0000</AppVersion>
  <Pages>4</Pages>
  <Words>507</Words>
  <Characters>2898</Characters>
  <CharactersWithSpaces>3377</CharactersWithSpaces>
  <Paragraphs>41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2023-02-22T19:53:44Z</cp:lastPrinted>
  <dcterms:modified xsi:type="dcterms:W3CDTF">2023-02-22T20:05:56Z</dcterms:modified>
  <cp:revision>187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