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40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4</w:t>
      </w:r>
      <w:r>
        <w:rPr/>
        <w:t xml:space="preserve"> de </w:t>
      </w:r>
      <w:r>
        <w:rPr/>
        <w:t>abril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3</w:t>
      </w:r>
      <w:r>
        <w:rPr/>
        <w:t xml:space="preserve"> de </w:t>
      </w:r>
      <w:r>
        <w:rPr/>
        <w:t>abril</w:t>
      </w:r>
      <w:r>
        <w:rPr/>
        <w:t xml:space="preserve">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30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30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9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>DE MARÇO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Autoriza a abertura de crédito especial junto à Secretaria Municipal de Administração,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03 – SECRETARIA MUNICIPAL DE ADMINISTRAÇÃO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1061 – REFORMA/MANUTENÇÃO DE PRÉDIOS ADMINISTRATIVOS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44.90.61.99.00 – Equipamentos e Material Permanente R$ 811.746,22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FR: 2.500 - Recursos não Vinculados de Impostos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, o saldo financeiro do exercício anterior, recursos próprios (0001), em 31/12/2022, no valor de R$ 811.746,22 (oitocentos e onze mil, setecentos e quarenta e seis reais e vinte e dois centavos).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LibreOffice/7.4.2.3$Windows_X86_64 LibreOffice_project/382eef1f22670f7f4118c8c2dd222ec7ad009daf</Application>
  <AppVersion>15.0000</AppVersion>
  <Pages>2</Pages>
  <Words>291</Words>
  <Characters>1463</Characters>
  <CharactersWithSpaces>1744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2023-04-04T10:39:21Z</cp:lastPrinted>
  <dcterms:modified xsi:type="dcterms:W3CDTF">2023-04-04T10:39:13Z</dcterms:modified>
  <cp:revision>297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