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b w:val="false"/>
          <w:i w:val="false"/>
          <w:strike/>
        </w:rPr>
        <w:t>º</w:t>
      </w:r>
      <w:r>
        <w:rPr/>
        <w:t xml:space="preserve"> </w:t>
      </w:r>
      <w:r>
        <w:rPr/>
        <w:t>50</w:t>
      </w:r>
      <w:r>
        <w:rPr/>
        <w:t xml:space="preserve"> DE 2023</w:t>
      </w:r>
    </w:p>
    <w:p>
      <w:pPr>
        <w:pStyle w:val="Normal"/>
        <w:jc w:val="both"/>
        <w:rPr/>
      </w:pPr>
      <w:r>
        <w:rPr/>
        <w:t xml:space="preserve">Em </w:t>
      </w:r>
      <w:r>
        <w:rPr/>
        <w:t>25</w:t>
      </w:r>
      <w:r>
        <w:rPr/>
        <w:t xml:space="preserve"> de abril de 2023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 xml:space="preserve">Dirijo-me a Vossa Excelência para comunicar que esta Câmara Municipal, na Sessão de </w:t>
      </w:r>
      <w:r>
        <w:rPr/>
        <w:t>24</w:t>
      </w:r>
      <w:r>
        <w:rPr/>
        <w:t xml:space="preserve"> de abril de 2023, aprovou o PROJETO DE LEI N</w:t>
      </w:r>
      <w:r>
        <w:rPr>
          <w:b w:val="false"/>
          <w:i w:val="false"/>
          <w:strike/>
        </w:rPr>
        <w:t>º</w:t>
      </w:r>
      <w:r>
        <w:rPr/>
        <w:t xml:space="preserve"> </w:t>
      </w:r>
      <w:r>
        <w:rPr/>
        <w:t>39</w:t>
      </w:r>
      <w:r>
        <w:rPr/>
        <w:t>, de 2023, de sua autoria, que “</w:t>
      </w:r>
      <w:r>
        <w:rPr/>
        <w:t>a</w:t>
      </w:r>
      <w:r>
        <w:rPr/>
        <w:t>utoriza o Poder Executivo a proceder na alienação onerosa dos bens móveis inservíveis, obsoletos ou antieconômicos</w:t>
      </w:r>
      <w:r>
        <w:rPr/>
        <w:t>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2204085</wp:posOffset>
            </wp:positionH>
            <wp:positionV relativeFrom="paragraph">
              <wp:posOffset>152400</wp:posOffset>
            </wp:positionV>
            <wp:extent cx="1289050" cy="46609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Diego Hider Maciel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b/>
          <w:bCs/>
        </w:rPr>
        <w:t>PROJETO DE LEI N</w:t>
      </w:r>
      <w:r>
        <w:rPr>
          <w:b w:val="false"/>
          <w:bCs/>
          <w:i w:val="false"/>
          <w:strike/>
        </w:rPr>
        <w:t>º</w:t>
      </w:r>
      <w:r>
        <w:rPr>
          <w:b/>
          <w:bCs/>
        </w:rPr>
        <w:t xml:space="preserve"> 3</w:t>
      </w:r>
      <w:r>
        <w:rPr>
          <w:b/>
          <w:bCs/>
        </w:rPr>
        <w:t>9</w:t>
      </w:r>
      <w:r>
        <w:rPr>
          <w:b/>
          <w:bCs/>
        </w:rPr>
        <w:t>, DE</w:t>
      </w:r>
      <w:r>
        <w:rPr>
          <w:b/>
          <w:bCs/>
          <w:strike w:val="false"/>
          <w:dstrike w:val="false"/>
        </w:rPr>
        <w:t xml:space="preserve"> </w:t>
      </w:r>
      <w:r>
        <w:rPr>
          <w:b/>
          <w:bCs/>
          <w:strike w:val="false"/>
          <w:dstrike w:val="false"/>
        </w:rPr>
        <w:t>4</w:t>
      </w:r>
      <w:r>
        <w:rPr>
          <w:b/>
          <w:bCs/>
          <w:strike w:val="false"/>
          <w:dstrike w:val="false"/>
        </w:rPr>
        <w:t xml:space="preserve"> </w:t>
      </w:r>
      <w:r>
        <w:rPr>
          <w:b/>
          <w:bCs/>
        </w:rPr>
        <w:t xml:space="preserve">DE </w:t>
      </w:r>
      <w:r>
        <w:rPr>
          <w:b/>
          <w:bCs/>
        </w:rPr>
        <w:t>ABRIL</w:t>
      </w:r>
      <w:r>
        <w:rPr>
          <w:b/>
          <w:bCs/>
        </w:rPr>
        <w:t xml:space="preserve"> DE 2023</w:t>
      </w:r>
    </w:p>
    <w:p>
      <w:pPr>
        <w:pStyle w:val="Normal"/>
        <w:jc w:val="both"/>
        <w:rPr>
          <w:rFonts w:ascii="Times New Roman" w:hAnsi="Times New Roman"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>
          <w:rFonts w:ascii="Times New Roman" w:hAnsi="Times New Roman"/>
        </w:rPr>
      </w:pPr>
      <w:r>
        <w:rPr/>
        <w:t>Autoriza o Poder Executivo a proceder na alienação onerosa dos bens móveis inservíveis, obsoletos ou antieconômicos.</w:t>
      </w:r>
    </w:p>
    <w:p>
      <w:pPr>
        <w:pStyle w:val="Normal"/>
        <w:ind w:left="4535" w:hanging="0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>
          <w:rFonts w:cs="Times New Roman"/>
          <w:b w:val="false"/>
          <w:bCs w:val="false"/>
          <w:sz w:val="24"/>
          <w:szCs w:val="24"/>
          <w:lang w:val="pt-BR"/>
        </w:rPr>
        <w:t>Art. 1</w:t>
      </w:r>
      <w:r>
        <w:rPr>
          <w:rFonts w:cs="Times New Roman"/>
          <w:b w:val="false"/>
          <w:bCs w:val="false"/>
          <w:strike/>
          <w:sz w:val="24"/>
          <w:szCs w:val="24"/>
          <w:lang w:val="pt-BR"/>
        </w:rPr>
        <w:t>º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 Fica o Poder Executivo autorizado a realizar a venda, através de leilão, dos bens de propriedade do Município, como máquinas, equipamentos, móveis, veículos, entre outros, considerados inservíveis, obsoletos ou antieconômicos para o uso do Município e que possuam algum valor comercial, conforme 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>A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>nexo I que faz parte integrante desta Lei.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>
          <w:rFonts w:cs="Times New Roman"/>
          <w:b w:val="false"/>
          <w:bCs w:val="false"/>
          <w:sz w:val="24"/>
          <w:szCs w:val="24"/>
          <w:lang w:val="pt-BR"/>
        </w:rPr>
        <w:t>Art. 2</w:t>
      </w:r>
      <w:r>
        <w:rPr>
          <w:rFonts w:cs="Times New Roman"/>
          <w:b w:val="false"/>
          <w:bCs w:val="false"/>
          <w:strike/>
          <w:sz w:val="24"/>
          <w:szCs w:val="24"/>
          <w:lang w:val="pt-BR"/>
        </w:rPr>
        <w:t>º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 Os bens ora descritos serão vendidos mediante procedimento licitatório, na modalidade leilão, por preço não inferior ao da avaliação, a ser realizada por leiloeira oficial contratada para esta finalidade, nos termos da Lei 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>n</w:t>
      </w:r>
      <w:r>
        <w:rPr>
          <w:rFonts w:cs="Times New Roman"/>
          <w:b w:val="false"/>
          <w:bCs w:val="false"/>
          <w:strike/>
          <w:sz w:val="24"/>
          <w:szCs w:val="24"/>
          <w:lang w:val="pt-BR"/>
        </w:rPr>
        <w:t>º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 8.666, 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de 1993, 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>e demais leis posteriores.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>
          <w:rFonts w:cs="Times New Roman"/>
          <w:b w:val="false"/>
          <w:bCs w:val="false"/>
          <w:sz w:val="24"/>
          <w:szCs w:val="24"/>
          <w:lang w:val="pt-BR"/>
        </w:rPr>
        <w:t>Art. 3</w:t>
      </w:r>
      <w:r>
        <w:rPr>
          <w:rFonts w:cs="Times New Roman"/>
          <w:b w:val="false"/>
          <w:bCs w:val="false"/>
          <w:strike/>
          <w:sz w:val="24"/>
          <w:szCs w:val="24"/>
          <w:lang w:val="pt-BR"/>
        </w:rPr>
        <w:t>º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 A venda será feita por leiloeiro oficial.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>
          <w:rFonts w:cs="Times New Roman"/>
          <w:b w:val="false"/>
          <w:bCs w:val="false"/>
          <w:sz w:val="24"/>
          <w:szCs w:val="24"/>
          <w:lang w:val="pt-BR"/>
        </w:rPr>
        <w:t>Art. 4</w:t>
      </w:r>
      <w:r>
        <w:rPr>
          <w:rFonts w:cs="Times New Roman"/>
          <w:b w:val="false"/>
          <w:bCs w:val="false"/>
          <w:strike/>
          <w:sz w:val="24"/>
          <w:szCs w:val="24"/>
          <w:lang w:val="pt-BR"/>
        </w:rPr>
        <w:t>º</w:t>
      </w:r>
      <w:r>
        <w:rPr>
          <w:rFonts w:cs="Times New Roman"/>
          <w:b w:val="false"/>
          <w:bCs w:val="false"/>
          <w:sz w:val="24"/>
          <w:szCs w:val="24"/>
          <w:lang w:val="pt-BR"/>
        </w:rPr>
        <w:t xml:space="preserve"> Esta lei entra em vigor na data de sua publicação.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rFonts w:cs="Times New Roman"/>
          <w:b/>
          <w:bCs/>
          <w:sz w:val="24"/>
          <w:szCs w:val="24"/>
          <w:lang w:val="pt-BR"/>
        </w:rPr>
        <w:t>ANEXO I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/>
          <w:bCs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93345</wp:posOffset>
            </wp:positionH>
            <wp:positionV relativeFrom="paragraph">
              <wp:posOffset>19685</wp:posOffset>
            </wp:positionV>
            <wp:extent cx="5753100" cy="7324725"/>
            <wp:effectExtent l="0" t="0" r="0" b="0"/>
            <wp:wrapSquare wrapText="largest"/>
            <wp:docPr id="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4065" cy="7514590"/>
            <wp:effectExtent l="0" t="0" r="0" b="0"/>
            <wp:wrapSquare wrapText="largest"/>
            <wp:docPr id="3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396605"/>
            <wp:effectExtent l="0" t="0" r="0" b="0"/>
            <wp:wrapSquare wrapText="largest"/>
            <wp:docPr id="4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98185" cy="7633335"/>
            <wp:effectExtent l="0" t="0" r="0" b="0"/>
            <wp:wrapSquare wrapText="largest"/>
            <wp:docPr id="5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type w:val="nextPage"/>
      <w:pgSz w:w="11906" w:h="16838"/>
      <w:pgMar w:left="1701" w:right="851" w:gutter="0" w:header="680" w:top="2693" w:footer="680" w:bottom="99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Black" w:hAnsi="Arial Black" w:cs="Arial Black"/>
        <w:sz w:val="16"/>
      </w:rPr>
    </w:pPr>
    <w:r>
      <w:rPr>
        <w:rFonts w:cs="Arial Black"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cs="Arial Black" w:ascii="Arial Black" w:hAnsi="Arial Black"/>
        <w:sz w:val="16"/>
      </w:rPr>
      <w:t xml:space="preserve">E-mail: </w:t>
    </w:r>
    <w:r>
      <w:rPr>
        <w:rStyle w:val="LinkdaInternet"/>
        <w:rFonts w:cs="Arial Black" w:ascii="Arial Black" w:hAnsi="Arial Black"/>
        <w:color w:val="00000A"/>
        <w:sz w:val="16"/>
        <w:u w:val="none"/>
      </w:rPr>
      <w:t>camara@trespassos.rs.leg.br</w:t>
    </w:r>
    <w:r>
      <w:rPr>
        <w:rFonts w:cs="Arial Black"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0" distT="0" distB="0" distL="114935" distR="114935" simplePos="0" locked="0" layoutInCell="0" allowOverlap="1" relativeHeight="7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797560" cy="1140460"/>
          <wp:effectExtent l="0" t="0" r="0" b="0"/>
          <wp:wrapSquare wrapText="largest"/>
          <wp:docPr id="6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5" t="-46" r="-55" b="-46"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 w:cs="Arial Narrow"/>
        <w:sz w:val="18"/>
        <w:szCs w:val="18"/>
      </w:rPr>
    </w:pPr>
    <w:r>
      <w:rPr>
        <w:rFonts w:cs="Arial Narrow"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;comic" w:hAnsi="Algerian;comic" w:cs="Algerian;comic"/>
        <w:b/>
        <w:b/>
        <w:bCs/>
        <w:sz w:val="21"/>
        <w:szCs w:val="21"/>
      </w:rPr>
    </w:pPr>
    <w:r>
      <w:rPr>
        <w:rFonts w:cs="Algerian;comic" w:ascii="Algerian;comic" w:hAnsi="Algerian;comic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libri Light" w:hAnsi="Calibri Light" w:eastAsia=";Calibri" w:cs=";Calibri"/>
      <w:color w:val="2E74B5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numPr>
        <w:ilvl w:val="4"/>
        <w:numId w:val="1"/>
      </w:numPr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RodapChar" w:customStyle="1">
    <w:name w:val="Rodapé Char"/>
    <w:qFormat/>
    <w:rPr>
      <w:sz w:val="24"/>
      <w:szCs w:val="24"/>
    </w:rPr>
  </w:style>
  <w:style w:type="character" w:styleId="LinkdaInternet">
    <w:name w:val="Hyperlink"/>
    <w:rPr>
      <w:color w:val="0000FF"/>
      <w:u w:val="single"/>
    </w:rPr>
  </w:style>
  <w:style w:type="character" w:styleId="Linkdainternetvisitado">
    <w:name w:val="FollowedHyperlink"/>
    <w:rPr>
      <w:color w:val="800080"/>
      <w:u w:val="single"/>
    </w:rPr>
  </w:style>
  <w:style w:type="character" w:styleId="CorpodetextoChar" w:customStyle="1">
    <w:name w:val="Corpo de texto Char"/>
    <w:qFormat/>
    <w:rPr>
      <w:sz w:val="28"/>
    </w:rPr>
  </w:style>
  <w:style w:type="character" w:styleId="Corpodetexto2Char" w:customStyle="1">
    <w:name w:val="Corpo de texto 2 Char"/>
    <w:qFormat/>
    <w:rPr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eastAsia="Batang;바탕" w:cs="Tahoma"/>
      <w:sz w:val="16"/>
      <w:szCs w:val="16"/>
    </w:rPr>
  </w:style>
  <w:style w:type="character" w:styleId="Corpodetexto3Char" w:customStyle="1">
    <w:name w:val="Corpo de texto 3 Char"/>
    <w:qFormat/>
    <w:rPr>
      <w:sz w:val="16"/>
      <w:szCs w:val="16"/>
    </w:rPr>
  </w:style>
  <w:style w:type="character" w:styleId="Recuodecorpodetexto3Char" w:customStyle="1">
    <w:name w:val="Recuo de corpo de texto 3 Char"/>
    <w:qFormat/>
    <w:rPr>
      <w:sz w:val="16"/>
      <w:szCs w:val="16"/>
    </w:rPr>
  </w:style>
  <w:style w:type="character" w:styleId="RecuodecorpodetextoChar" w:customStyle="1">
    <w:name w:val="Recuo de corpo de texto Char"/>
    <w:qFormat/>
    <w:rPr>
      <w:sz w:val="28"/>
      <w:szCs w:val="24"/>
    </w:rPr>
  </w:style>
  <w:style w:type="character" w:styleId="Recuodecorpodetexto2Char" w:customStyle="1">
    <w:name w:val="Recuo de corpo de texto 2 Char"/>
    <w:qFormat/>
    <w:rPr>
      <w:sz w:val="24"/>
      <w:szCs w:val="24"/>
    </w:rPr>
  </w:style>
  <w:style w:type="character" w:styleId="CabealhoChar" w:customStyle="1">
    <w:name w:val="Cabeçalho Char"/>
    <w:qFormat/>
    <w:rPr>
      <w:sz w:val="24"/>
      <w:szCs w:val="24"/>
    </w:rPr>
  </w:style>
  <w:style w:type="character" w:styleId="Ttulo1Char" w:customStyle="1">
    <w:name w:val="Título 1 Char"/>
    <w:qFormat/>
    <w:rPr>
      <w:b/>
      <w:bCs/>
      <w:sz w:val="24"/>
      <w:szCs w:val="24"/>
    </w:rPr>
  </w:style>
  <w:style w:type="character" w:styleId="Nfase">
    <w:name w:val="Emphasis"/>
    <w:qFormat/>
    <w:rPr>
      <w:i/>
      <w:iCs/>
    </w:rPr>
  </w:style>
  <w:style w:type="character" w:styleId="SubttuloChar" w:customStyle="1">
    <w:name w:val="Subtítulo Char"/>
    <w:qFormat/>
    <w:rPr>
      <w:rFonts w:ascii="Arial" w:hAnsi="Arial" w:cs="Arial"/>
      <w:kern w:val="2"/>
      <w:sz w:val="22"/>
      <w:szCs w:val="24"/>
      <w:lang w:val="pt-BR"/>
    </w:rPr>
  </w:style>
  <w:style w:type="character" w:styleId="Badge" w:customStyle="1">
    <w:name w:val="badge"/>
    <w:qFormat/>
    <w:rPr/>
  </w:style>
  <w:style w:type="character" w:styleId="Appleconvertedspace" w:customStyle="1">
    <w:name w:val="apple-converted-space"/>
    <w:qFormat/>
    <w:rPr/>
  </w:style>
  <w:style w:type="character" w:styleId="A3" w:customStyle="1">
    <w:name w:val="A3"/>
    <w:qFormat/>
    <w:rPr>
      <w:color w:val="000000"/>
      <w:sz w:val="18"/>
      <w:szCs w:val="18"/>
    </w:rPr>
  </w:style>
  <w:style w:type="character" w:styleId="Ttulo2Char" w:customStyle="1">
    <w:name w:val="Título 2 Char"/>
    <w:qFormat/>
    <w:rPr>
      <w:rFonts w:ascii="Calibri Light" w:hAnsi="Calibri Light" w:eastAsia=";Calibri" w:cs=";Calibri"/>
      <w:color w:val="2E74B5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WWCaracteresdenotaderodap" w:customStyle="1">
    <w:name w:val="WW-Caracteres de nota de rodapé"/>
    <w:qFormat/>
    <w:rPr>
      <w:vertAlign w:val="superscript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uiPriority w:val="10"/>
    <w:qFormat/>
    <w:pPr>
      <w:widowControl w:val="false"/>
      <w:spacing w:lineRule="exact" w:line="360"/>
      <w:jc w:val="center"/>
    </w:pPr>
    <w:rPr>
      <w:rFonts w:ascii="Arial" w:hAnsi="Arial" w:cs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odotextorecuado">
    <w:name w:val="Body Text Indent"/>
    <w:basedOn w:val="Normal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qFormat/>
    <w:pPr/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Padro" w:customStyle="1">
    <w:name w:val="Padrão"/>
    <w:qFormat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zh-CN" w:bidi="ar-SA"/>
    </w:rPr>
  </w:style>
  <w:style w:type="paragraph" w:styleId="Pa6" w:customStyle="1">
    <w:name w:val="Pa6"/>
    <w:basedOn w:val="Normal"/>
    <w:next w:val="Normal"/>
    <w:qFormat/>
    <w:pPr>
      <w:spacing w:lineRule="atLeast" w:line="221"/>
    </w:pPr>
    <w:rPr>
      <w:rFonts w:ascii="FGOUYJ+RotisSemiSerif" w:hAnsi="FGOUYJ+RotisSemiSerif" w:cs="FGOUYJ+RotisSemiSerif"/>
    </w:rPr>
  </w:style>
  <w:style w:type="paragraph" w:styleId="BalloonText">
    <w:name w:val="Balloon Text"/>
    <w:basedOn w:val="Normal"/>
    <w:qFormat/>
    <w:pPr/>
    <w:rPr>
      <w:rFonts w:ascii="Tahoma" w:hAnsi="Tahoma" w:eastAsia="Batang;바탕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pPr>
      <w:spacing w:before="280" w:after="280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Subttulo">
    <w:name w:val="Subtitle"/>
    <w:basedOn w:val="Normal"/>
    <w:next w:val="Normal"/>
    <w:uiPriority w:val="11"/>
    <w:qFormat/>
    <w:pPr>
      <w:spacing w:lineRule="auto" w:line="276" w:before="120" w:after="120"/>
      <w:ind w:left="1416" w:hanging="0"/>
      <w:jc w:val="both"/>
    </w:pPr>
    <w:rPr>
      <w:rFonts w:ascii="Arial" w:hAnsi="Arial" w:cs="Arial"/>
      <w:kern w:val="2"/>
      <w:sz w:val="22"/>
    </w:rPr>
  </w:style>
  <w:style w:type="paragraph" w:styleId="Texto1" w:customStyle="1">
    <w:name w:val="texto1"/>
    <w:basedOn w:val="Normal"/>
    <w:qFormat/>
    <w:pPr>
      <w:spacing w:before="280" w:after="280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zh-CN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zh-CN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paragraph" w:styleId="Douparagraph">
    <w:name w:val="dou-paragraph"/>
    <w:basedOn w:val="Normal"/>
    <w:qFormat/>
    <w:pPr>
      <w:spacing w:beforeAutospacing="1" w:afterAutospacing="1"/>
    </w:pPr>
    <w:rPr>
      <w:rFonts w:ascii="Times New Roman" w:hAnsi="Times New Roman" w:eastAsia="Times New Roman" w:cs="Times New Roman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Application>LibreOffice/7.4.2.3$Windows_X86_64 LibreOffice_project/382eef1f22670f7f4118c8c2dd222ec7ad009daf</Application>
  <AppVersion>15.0000</AppVersion>
  <Pages>6</Pages>
  <Words>276</Words>
  <Characters>1456</Characters>
  <CharactersWithSpaces>1718</CharactersWithSpaces>
  <Paragraphs>20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2022-12-05T19:48:00Z</dcterms:created>
  <dc:creator>CAMARA MUNICIPAL DE VEREADORES DE TRES PASSOS</dc:creator>
  <dc:description/>
  <dc:language>pt-BR</dc:language>
  <cp:lastModifiedBy/>
  <cp:lastPrinted>2023-04-25T10:21:55Z</cp:lastPrinted>
  <dcterms:modified xsi:type="dcterms:W3CDTF">2023-04-25T10:13:54Z</dcterms:modified>
  <cp:revision>335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