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81 DE 2023</w:t>
      </w:r>
    </w:p>
    <w:p>
      <w:pPr>
        <w:pStyle w:val="Normal"/>
        <w:jc w:val="both"/>
        <w:rPr/>
      </w:pPr>
      <w:r>
        <w:rPr/>
        <w:t>Em 20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19 de junho de 2023, aprovou o PROJETO DE LEI ORDINÁRIA N</w:t>
      </w:r>
      <w:r>
        <w:rPr>
          <w:strike/>
        </w:rPr>
        <w:t>º</w:t>
      </w:r>
      <w:r>
        <w:rPr/>
        <w:t xml:space="preserve"> 67, de 2023, de sua autoria, que “concede reajuste salarial aos servidores públicos municipais ativos: estatutários, celetistas, contratados emergencialmente, cargos em comissão; servidores municipais inativos: aposentados e pensionistas com direito a paridade; conselheiros tutelares; estagiários; e servidores do IPSTP, exceto aos servidores da Câmara Municipal”,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67, DE 31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Concede reajuste salarial aos servidores públicos municipais ativos: estatutários, celetistas, contratados emergencialmente, cargos em comissão; servidores municipais inativos: aposentados e pensionistas com direito a paridade; conselheiros tutelares; estagiários; e servidores do IPSTP, exceto aos servidores da Câmara Municipal.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Fica concedido reajuste salarial de 2,2% (dois vírgula dois por cento), sobre os vencimentos dos servidores públicos municipais ativos: estatutários, celetistas, contratados emergencialmente, cargos em comissão; servidores municipais inativos: aposentados e pensionistas com direito a paridade; conselheiros tutelares; estagiários; e servidores do IPSTP, exceto aos servidores da Câmara Municipal.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 reajuste salarial mencionado na presente Lei não se aplica aos Agentes Comunitários de Saúde e Agentes de Combate s Endemias, que possuem legislação própria.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desta lei correrão por conta de dotações orçamentárias próprias.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publicação, surtindo seus efeitos a contar do primeiro dia do mês subsequente a sua aprovação.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LibreOffice/7.4.2.3$Windows_X86_64 LibreOffice_project/382eef1f22670f7f4118c8c2dd222ec7ad009daf</Application>
  <AppVersion>15.0000</AppVersion>
  <Pages>2</Pages>
  <Words>320</Words>
  <Characters>1918</Characters>
  <CharactersWithSpaces>2225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2023-06-20T10:56:35Z</cp:lastPrinted>
  <dcterms:modified xsi:type="dcterms:W3CDTF">2023-06-20T11:00:10Z</dcterms:modified>
  <cp:revision>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