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104 DE 2023</w:t>
      </w:r>
    </w:p>
    <w:p>
      <w:pPr>
        <w:pStyle w:val="Normal"/>
        <w:jc w:val="both"/>
        <w:rPr/>
      </w:pPr>
      <w:r>
        <w:rPr/>
        <w:t>Em 22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21 de agosto de 2023, aprovou o PROJETO DE LEI ORDINÁRIA N</w:t>
      </w:r>
      <w:r>
        <w:rPr>
          <w:strike/>
        </w:rPr>
        <w:t>º</w:t>
      </w:r>
      <w:r>
        <w:rPr/>
        <w:t xml:space="preserve"> 90, de 2023, de sua autoria, que “autoriza o Poder Executivo a proceder na contratação emergencial de um técnico em enfermagem”,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90</w:t>
      </w:r>
      <w:r>
        <w:rPr>
          <w:b/>
          <w:bCs/>
        </w:rPr>
        <w:t>, DE 28 DE JULHO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proceder na contratação emergencial de um técnico em enfermagem.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o Poder Executivo autorizado a contratar em caráter emergencial, para atender necessidade temporária e por total interesse do serviço público, conforme inciso IX do art. 37 da Constituição Federal, um técnico em enfermagem.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será de natureza administrativa, ficando assegurado ao contratado os direitos previstos no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250 do Regime Jurídico do Município, Lei Complementar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18, de 2011, bem como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de seis meses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do contrato será de vinte horas semanais.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remuneração do profissional de que trata esta lei será Padrão 08, previsto na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5.496, de 17 de setembro de 2019.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contratação autorizada por esta lei ocorrerá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o exercício da função de que trata esta lei, o candidato deve possuir ensino médio completo, com curso Técnico em Enfermagem.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candidato ao preenchimento da vaga prevista nesta Lei será selecionado de acordo com o processo seletivo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028/2022.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 seguinte dotação orçamentária da Secretaria Municipal da Saúde: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09 SECRETARIA MUNICIPAL DE SAÚDE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Unidade: 01 FUNDO MUNICIPAL DE SAÚDE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Proj./Ativ. 2.124 Manutenção ações saúde prisional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442 – 3.1.90.11.00.00.00.00 Vencimentos e Vantagens Fixas - Pessoal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LibreOffice/7.4.2.3$Windows_X86_64 LibreOffice_project/382eef1f22670f7f4118c8c2dd222ec7ad009daf</Application>
  <AppVersion>15.0000</AppVersion>
  <Pages>2</Pages>
  <Words>422</Words>
  <Characters>2205</Characters>
  <CharactersWithSpaces>2610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2023-08-22T14:14:50Z</cp:lastPrinted>
  <dcterms:modified xsi:type="dcterms:W3CDTF">2023-08-22T15:06:14Z</dcterms:modified>
  <cp:revision>37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