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"/>
        <w:spacing w:lineRule="auto" w:line="240"/>
        <w:rPr>
          <w:sz w:val="24"/>
          <w:szCs w:val="24"/>
        </w:rPr>
      </w:pPr>
      <w:r>
        <w:rPr>
          <w:sz w:val="24"/>
          <w:szCs w:val="24"/>
        </w:rPr>
        <w:t xml:space="preserve">EMENDA </w:t>
      </w:r>
      <w:r>
        <w:rPr>
          <w:sz w:val="24"/>
          <w:szCs w:val="24"/>
        </w:rPr>
        <w:t>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15/2023</w:t>
      </w:r>
    </w:p>
    <w:p>
      <w:pPr>
        <w:pStyle w:val="Normal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Senhor Presidente da Comissão do Orçamento e Finanças: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</w:rPr>
        <w:t>O Vereador infra firmado, usando das legais e regimentais atribuições inerentes ao cargo que ocupa e a sua função de parlamentar, vem, perante Vossa Senhoria apresentar EMENDA ADITIVA ao projeto de lei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95/23, que dispõe sobre as diretrizes orçamentárias para o exercício financeiro de 2024, </w:t>
      </w:r>
      <w:r>
        <w:rPr>
          <w:rFonts w:cs="Arial" w:ascii="Arial" w:hAnsi="Arial"/>
          <w:iCs/>
        </w:rPr>
        <w:t xml:space="preserve">e </w:t>
      </w:r>
      <w:r>
        <w:rPr>
          <w:rFonts w:cs="Arial" w:ascii="Arial" w:hAnsi="Arial"/>
        </w:rPr>
        <w:t>se encontra na Comissão de Orçamento e Finanças, nos seguintes termos:</w:t>
      </w:r>
    </w:p>
    <w:p>
      <w:pPr>
        <w:pStyle w:val="Normal"/>
        <w:ind w:firstLine="851"/>
        <w:jc w:val="both"/>
        <w:rPr>
          <w:rFonts w:ascii="Arial" w:hAnsi="Arial" w:cs="Arial"/>
          <w:u w:val="single"/>
        </w:rPr>
      </w:pPr>
      <w:r>
        <w:rPr>
          <w:rFonts w:cs="Arial" w:ascii="Arial" w:hAnsi="Arial"/>
          <w:u w:val="single"/>
        </w:rPr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  <w:u w:val="single"/>
        </w:rPr>
        <w:t>Emenda Aditiva</w:t>
      </w:r>
      <w:r>
        <w:rPr>
          <w:rFonts w:cs="Arial" w:ascii="Arial" w:hAnsi="Arial"/>
          <w:u w:val="none"/>
        </w:rPr>
        <w:t>: Inclui os arts. 37 e 38 ao projeto de lei n</w:t>
      </w:r>
      <w:r>
        <w:rPr>
          <w:rFonts w:cs="Arial" w:ascii="Arial" w:hAnsi="Arial"/>
          <w:strike/>
          <w:u w:val="none"/>
        </w:rPr>
        <w:t>º</w:t>
      </w:r>
      <w:r>
        <w:rPr>
          <w:rFonts w:cs="Arial" w:ascii="Arial" w:hAnsi="Arial"/>
          <w:u w:val="none"/>
        </w:rPr>
        <w:t xml:space="preserve"> 95, de 2023, sendo que o atual art. 37 do PL e os demais artigos subsequentes ficam renumerados para 39 e seguintes, e suprime os §§ 2</w:t>
      </w:r>
      <w:r>
        <w:rPr>
          <w:rFonts w:cs="Arial" w:ascii="Arial" w:hAnsi="Arial"/>
          <w:strike/>
          <w:u w:val="none"/>
        </w:rPr>
        <w:t>º</w:t>
      </w:r>
      <w:r>
        <w:rPr>
          <w:rFonts w:cs="Arial" w:ascii="Arial" w:hAnsi="Arial"/>
          <w:u w:val="none"/>
        </w:rPr>
        <w:t>, 3</w:t>
      </w:r>
      <w:r>
        <w:rPr>
          <w:rFonts w:cs="Arial" w:ascii="Arial" w:hAnsi="Arial"/>
          <w:strike/>
          <w:u w:val="none"/>
        </w:rPr>
        <w:t>º</w:t>
      </w:r>
      <w:r>
        <w:rPr>
          <w:rFonts w:cs="Arial" w:ascii="Arial" w:hAnsi="Arial"/>
          <w:u w:val="none"/>
        </w:rPr>
        <w:t>, 4</w:t>
      </w:r>
      <w:r>
        <w:rPr>
          <w:rFonts w:cs="Arial" w:ascii="Arial" w:hAnsi="Arial"/>
          <w:strike/>
          <w:u w:val="none"/>
        </w:rPr>
        <w:t>º</w:t>
      </w:r>
      <w:r>
        <w:rPr>
          <w:rFonts w:cs="Arial" w:ascii="Arial" w:hAnsi="Arial"/>
          <w:u w:val="none"/>
        </w:rPr>
        <w:t xml:space="preserve"> e 5</w:t>
      </w:r>
      <w:r>
        <w:rPr>
          <w:rFonts w:cs="Arial" w:ascii="Arial" w:hAnsi="Arial"/>
          <w:strike/>
          <w:u w:val="none"/>
        </w:rPr>
        <w:t>º</w:t>
      </w:r>
      <w:r>
        <w:rPr>
          <w:rFonts w:cs="Arial" w:ascii="Arial" w:hAnsi="Arial"/>
          <w:u w:val="none"/>
        </w:rPr>
        <w:t xml:space="preserve"> do art. 36: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Arial" w:hAnsi="Arial" w:cs="Arial"/>
          <w:b w:val="false"/>
          <w:b w:val="false"/>
          <w:bCs w:val="false"/>
          <w:u w:val="none"/>
        </w:rPr>
      </w:pPr>
      <w:r>
        <w:rPr>
          <w:rFonts w:cs="Arial" w:ascii="Arial" w:hAnsi="Arial"/>
          <w:b w:val="false"/>
          <w:bCs w:val="false"/>
          <w:u w:val="none"/>
        </w:rPr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rFonts w:cs="Arial" w:ascii="Arial" w:hAnsi="Arial"/>
          <w:b w:val="false"/>
          <w:bCs w:val="false"/>
          <w:u w:val="none"/>
        </w:rPr>
        <w:t>“</w:t>
      </w:r>
      <w:r>
        <w:rPr>
          <w:rFonts w:cs="Arial" w:ascii="Arial" w:hAnsi="Arial"/>
          <w:b w:val="false"/>
          <w:bCs w:val="false"/>
          <w:u w:val="none"/>
        </w:rPr>
        <w:t>Art. 37. No caso de impedimento de ordem técnica serão adotadas as seguintes medidas: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rFonts w:cs="Arial" w:ascii="Arial" w:hAnsi="Arial"/>
          <w:b w:val="false"/>
          <w:bCs w:val="false"/>
          <w:u w:val="none"/>
        </w:rPr>
        <w:t>I - até cento e vinte dias após a publicação da lei orçamentária, o Poder Executivo, comunicará ao Poder Legislativo as justificativas de impedimento à execução das emendas individuais e/ou de bancadas;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rFonts w:cs="Arial" w:ascii="Arial" w:hAnsi="Arial"/>
          <w:b w:val="false"/>
          <w:bCs w:val="false"/>
          <w:u w:val="none"/>
        </w:rPr>
        <w:t>II – em até trinta dias após o término do prazo previsto no inciso I, o Poder Legislativo indicará ao Poder Executivo o remanejamento da programação cujo impedimento seja insuperável;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rFonts w:cs="Arial" w:ascii="Arial" w:hAnsi="Arial"/>
          <w:b w:val="false"/>
          <w:bCs w:val="false"/>
          <w:u w:val="none"/>
        </w:rPr>
        <w:t>III – em até trinta dias após o término do prazo previsto no inciso II o Poder Executivo consolidará as indicações e, se necessário, iniciará processo legislativo dos créditos  adicionais para o atendimento;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rFonts w:cs="Arial" w:ascii="Arial" w:hAnsi="Arial"/>
          <w:b w:val="false"/>
          <w:bCs w:val="false"/>
          <w:u w:val="none"/>
        </w:rPr>
        <w:t>§ 1</w:t>
      </w:r>
      <w:r>
        <w:rPr>
          <w:rFonts w:cs="Arial" w:ascii="Arial" w:hAnsi="Arial"/>
          <w:b w:val="false"/>
          <w:bCs w:val="false"/>
          <w:strike/>
          <w:u w:val="none"/>
        </w:rPr>
        <w:t>º</w:t>
      </w:r>
      <w:r>
        <w:rPr>
          <w:rFonts w:cs="Arial" w:ascii="Arial" w:hAnsi="Arial"/>
          <w:b w:val="false"/>
          <w:bCs w:val="false"/>
          <w:u w:val="none"/>
        </w:rPr>
        <w:t xml:space="preserve"> Após o término do prazo previsto no inciso II do</w:t>
      </w:r>
      <w:r>
        <w:rPr>
          <w:rFonts w:cs="Arial" w:ascii="Arial" w:hAnsi="Arial"/>
          <w:b w:val="false"/>
          <w:bCs w:val="false"/>
          <w:i/>
          <w:iCs/>
          <w:u w:val="none"/>
        </w:rPr>
        <w:t xml:space="preserve"> caput</w:t>
      </w:r>
      <w:r>
        <w:rPr>
          <w:rFonts w:cs="Arial" w:ascii="Arial" w:hAnsi="Arial"/>
          <w:b w:val="false"/>
          <w:bCs w:val="false"/>
          <w:u w:val="none"/>
        </w:rPr>
        <w:t>, as emendas com impedimento técnico não remanejadas pelo Poder Legislativo, não serão de execução obrigatória podendo servir de fonte para abertura de créditos adicionais no exercício.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rFonts w:cs="Arial" w:ascii="Arial" w:hAnsi="Arial"/>
          <w:b w:val="false"/>
          <w:bCs w:val="false"/>
          <w:u w:val="none"/>
        </w:rPr>
        <w:t>§ 3</w:t>
      </w:r>
      <w:r>
        <w:rPr>
          <w:rFonts w:cs="Arial" w:ascii="Arial" w:hAnsi="Arial"/>
          <w:b w:val="false"/>
          <w:bCs w:val="false"/>
          <w:strike/>
          <w:u w:val="none"/>
        </w:rPr>
        <w:t>º</w:t>
      </w:r>
      <w:r>
        <w:rPr>
          <w:rFonts w:cs="Arial" w:ascii="Arial" w:hAnsi="Arial"/>
          <w:b w:val="false"/>
          <w:bCs w:val="false"/>
          <w:u w:val="none"/>
        </w:rPr>
        <w:t xml:space="preserve"> Inexistindo impedimento de ordem técnica ou tão logo o óbice seja superado, os órgãos e as unidades deverão adotar os meios e as medidas necessários à execução das programações, observados os limites da programação orçamentária e financeira vigente.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rFonts w:cs="Arial" w:ascii="Arial" w:hAnsi="Arial"/>
          <w:b w:val="false"/>
          <w:bCs w:val="false"/>
          <w:u w:val="none"/>
        </w:rPr>
        <w:t>§ 4</w:t>
      </w:r>
      <w:r>
        <w:rPr>
          <w:rFonts w:cs="Arial" w:ascii="Arial" w:hAnsi="Arial"/>
          <w:b w:val="false"/>
          <w:bCs w:val="false"/>
          <w:strike/>
          <w:u w:val="none"/>
        </w:rPr>
        <w:t>º</w:t>
      </w:r>
      <w:r>
        <w:rPr>
          <w:rFonts w:cs="Arial" w:ascii="Arial" w:hAnsi="Arial"/>
          <w:b w:val="false"/>
          <w:bCs w:val="false"/>
          <w:u w:val="none"/>
        </w:rPr>
        <w:t xml:space="preserve"> As dotações orçamentárias relativas às emendas impositivas que permanecerem com impedimento técnico após 20 de novembro de 2024 poderão ser utilizadas pelo Poder Executivo como fonte de recursos para a abertura de créditos adicionais, na forma da Lei Federal n</w:t>
      </w:r>
      <w:r>
        <w:rPr>
          <w:rFonts w:cs="Arial" w:ascii="Arial" w:hAnsi="Arial"/>
          <w:b w:val="false"/>
          <w:bCs w:val="false"/>
          <w:strike/>
          <w:u w:val="none"/>
        </w:rPr>
        <w:t>º</w:t>
      </w:r>
      <w:r>
        <w:rPr>
          <w:rFonts w:cs="Arial" w:ascii="Arial" w:hAnsi="Arial"/>
          <w:b w:val="false"/>
          <w:bCs w:val="false"/>
          <w:u w:val="none"/>
        </w:rPr>
        <w:t xml:space="preserve"> 4.320/1964.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rFonts w:cs="Arial" w:ascii="Arial" w:hAnsi="Arial"/>
          <w:b w:val="false"/>
          <w:bCs w:val="false"/>
          <w:u w:val="none"/>
        </w:rPr>
        <w:t>§ 5</w:t>
      </w:r>
      <w:r>
        <w:rPr>
          <w:rFonts w:cs="Arial" w:ascii="Arial" w:hAnsi="Arial"/>
          <w:b w:val="false"/>
          <w:bCs w:val="false"/>
          <w:strike/>
          <w:u w:val="none"/>
        </w:rPr>
        <w:t>º</w:t>
      </w:r>
      <w:r>
        <w:rPr>
          <w:rFonts w:cs="Arial" w:ascii="Arial" w:hAnsi="Arial"/>
          <w:b w:val="false"/>
          <w:bCs w:val="false"/>
          <w:u w:val="none"/>
        </w:rPr>
        <w:t xml:space="preserve"> As justificativas para a inexecução das programações orçamentárias das emendas individuais e de bancada comporão o relatório de avaliação das metas fiscais do último quadrimestre do exercício, a ser apresentado em audiência pública na forma do art. 25 desta Lei.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Arial" w:hAnsi="Arial" w:cs="Arial"/>
          <w:b w:val="false"/>
          <w:b w:val="false"/>
          <w:bCs w:val="false"/>
          <w:u w:val="none"/>
        </w:rPr>
      </w:pPr>
      <w:r>
        <w:rPr>
          <w:rFonts w:cs="Arial" w:ascii="Arial" w:hAnsi="Arial"/>
          <w:b w:val="false"/>
          <w:bCs w:val="false"/>
          <w:u w:val="none"/>
        </w:rPr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rFonts w:cs="Arial" w:ascii="Arial" w:hAnsi="Arial"/>
          <w:b w:val="false"/>
          <w:bCs w:val="false"/>
          <w:u w:val="none"/>
        </w:rPr>
        <w:t>Art. 38. Em caso de emendas que tenham como beneficiárias entidades da organização  civil, o Poder Executivo as notificará para que apresentem o plano de trabalho em até trinta dias contados da promulgação da lei orçamentária anual.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rFonts w:cs="Arial" w:ascii="Arial" w:hAnsi="Arial"/>
          <w:b w:val="false"/>
          <w:bCs w:val="false"/>
          <w:u w:val="none"/>
        </w:rPr>
        <w:t>§ 1</w:t>
      </w:r>
      <w:r>
        <w:rPr>
          <w:rFonts w:cs="Arial" w:ascii="Arial" w:hAnsi="Arial"/>
          <w:b w:val="false"/>
          <w:bCs w:val="false"/>
          <w:strike/>
          <w:u w:val="none"/>
        </w:rPr>
        <w:t>º</w:t>
      </w:r>
      <w:r>
        <w:rPr>
          <w:rFonts w:cs="Arial" w:ascii="Arial" w:hAnsi="Arial"/>
          <w:b w:val="false"/>
          <w:bCs w:val="false"/>
          <w:u w:val="none"/>
        </w:rPr>
        <w:t xml:space="preserve"> O Poder Executivo deve estabelecer prazo para que as entidades mencionadas neste artigo complementem a documentação ou procedam ajustes nos planos de trabalho.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/>
      </w:pPr>
      <w:r>
        <w:rPr>
          <w:rFonts w:cs="Arial" w:ascii="Arial" w:hAnsi="Arial"/>
          <w:b w:val="false"/>
          <w:bCs w:val="false"/>
          <w:u w:val="none"/>
        </w:rPr>
        <w:t>§ 2</w:t>
      </w:r>
      <w:r>
        <w:rPr>
          <w:rFonts w:cs="Arial" w:ascii="Arial" w:hAnsi="Arial"/>
          <w:b w:val="false"/>
          <w:bCs w:val="false"/>
          <w:strike/>
          <w:u w:val="none"/>
        </w:rPr>
        <w:t>º</w:t>
      </w:r>
      <w:r>
        <w:rPr>
          <w:rFonts w:cs="Arial" w:ascii="Arial" w:hAnsi="Arial"/>
          <w:b w:val="false"/>
          <w:bCs w:val="false"/>
          <w:u w:val="none"/>
        </w:rPr>
        <w:t xml:space="preserve"> Oportunizados a complementação e ajustes de que trata o § 1</w:t>
      </w:r>
      <w:r>
        <w:rPr>
          <w:rFonts w:cs="Arial" w:ascii="Arial" w:hAnsi="Arial"/>
          <w:b w:val="false"/>
          <w:bCs w:val="false"/>
          <w:strike/>
          <w:u w:val="none"/>
        </w:rPr>
        <w:t>º</w:t>
      </w:r>
      <w:r>
        <w:rPr>
          <w:rFonts w:cs="Arial" w:ascii="Arial" w:hAnsi="Arial"/>
          <w:b w:val="false"/>
          <w:bCs w:val="false"/>
          <w:u w:val="none"/>
        </w:rPr>
        <w:t xml:space="preserve"> deste artigo, o não atendimento aos requisitos das legislações, ou aos prazos, impedirá a formalização do termo ou convênio.”</w:t>
      </w:r>
    </w:p>
    <w:p>
      <w:pPr>
        <w:pStyle w:val="Normal"/>
        <w:widowControl/>
        <w:suppressAutoHyphens w:val="true"/>
        <w:bidi w:val="0"/>
        <w:spacing w:before="0" w:after="0"/>
        <w:ind w:left="850" w:right="0" w:hanging="0"/>
        <w:jc w:val="both"/>
        <w:rPr>
          <w:rFonts w:ascii="Arial" w:hAnsi="Arial" w:cs="Arial"/>
          <w:b w:val="false"/>
          <w:b w:val="false"/>
          <w:bCs w:val="false"/>
          <w:u w:val="none"/>
        </w:rPr>
      </w:pPr>
      <w:r>
        <w:rPr>
          <w:rFonts w:cs="Arial" w:ascii="Arial" w:hAnsi="Arial"/>
          <w:b w:val="false"/>
          <w:bCs w:val="false"/>
          <w:u w:val="none"/>
        </w:rPr>
      </w:r>
    </w:p>
    <w:p>
      <w:pPr>
        <w:pStyle w:val="Normal"/>
        <w:ind w:left="851" w:hanging="0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Justificativa: 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Pretende-se, com esta emenda aditiva, incluir no texto do projeto de lei da LDO para 2024 os </w:t>
      </w:r>
      <w:r>
        <w:rPr>
          <w:rFonts w:cs="Arial" w:ascii="Arial" w:hAnsi="Arial"/>
          <w:u w:val="single"/>
        </w:rPr>
        <w:t>prazos</w:t>
      </w:r>
      <w:r>
        <w:rPr>
          <w:rFonts w:cs="Arial" w:ascii="Arial" w:hAnsi="Arial"/>
        </w:rPr>
        <w:t xml:space="preserve"> relativos aos impedimentos de ordem técnica, que possam ser apresentados às emendas impositivas dos vereadores e das bancadas, conforme determina o § 14 do art. 166 da Constituição Federal, sendo que os </w:t>
      </w:r>
      <w:r>
        <w:rPr>
          <w:rFonts w:cs="Arial" w:ascii="Arial" w:hAnsi="Arial"/>
          <w:u w:val="single"/>
        </w:rPr>
        <w:t>casos</w:t>
      </w:r>
      <w:r>
        <w:rPr>
          <w:rFonts w:cs="Arial" w:ascii="Arial" w:hAnsi="Arial"/>
        </w:rPr>
        <w:t xml:space="preserve"> de impedimentos de ordem técnica já constam do PL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95 de 2023, no seu art. 36.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No § 2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do art. 36 do PL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95 de 2023 consta que tais prazos farão parte de Decreto, a ser editado pelo Executivo Municipal no prazo de até trinta dias da publicação da Lei Orçamentária, o que é contrário ao disposto na Constituição Federal.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Salienta-se que foi utilizado o modelo de projeto de lei da LDO oferecido pelo IGAM, sendo que os §§ 3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>, 4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e 5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do art. 36 do PL 95 de 2023 foram mantidos por meio desta Emenda, agora no art. 37.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Importante salientar que o art. 37 do PL n</w:t>
      </w:r>
      <w:r>
        <w:rPr>
          <w:rFonts w:cs="Arial" w:ascii="Arial" w:hAnsi="Arial"/>
          <w:strike/>
        </w:rPr>
        <w:t>º</w:t>
      </w:r>
      <w:r>
        <w:rPr>
          <w:rFonts w:cs="Arial" w:ascii="Arial" w:hAnsi="Arial"/>
        </w:rPr>
        <w:t xml:space="preserve"> 95 de 2023 não foi alterado, sendo apenas renumerado para art. 39, assim como os demais artigos subsequentes, e que ficam suprimidos os </w:t>
      </w:r>
      <w:r>
        <w:rPr>
          <w:rFonts w:cs="Arial" w:ascii="Arial" w:hAnsi="Arial"/>
          <w:u w:val="none"/>
        </w:rPr>
        <w:t>§§ 2</w:t>
      </w:r>
      <w:r>
        <w:rPr>
          <w:rFonts w:cs="Arial" w:ascii="Arial" w:hAnsi="Arial"/>
          <w:strike/>
          <w:u w:val="none"/>
        </w:rPr>
        <w:t>º</w:t>
      </w:r>
      <w:r>
        <w:rPr>
          <w:rFonts w:cs="Arial" w:ascii="Arial" w:hAnsi="Arial"/>
          <w:u w:val="none"/>
        </w:rPr>
        <w:t>, 3</w:t>
      </w:r>
      <w:r>
        <w:rPr>
          <w:rFonts w:cs="Arial" w:ascii="Arial" w:hAnsi="Arial"/>
          <w:strike/>
          <w:u w:val="none"/>
        </w:rPr>
        <w:t>º</w:t>
      </w:r>
      <w:r>
        <w:rPr>
          <w:rFonts w:cs="Arial" w:ascii="Arial" w:hAnsi="Arial"/>
          <w:u w:val="none"/>
        </w:rPr>
        <w:t>, 4</w:t>
      </w:r>
      <w:r>
        <w:rPr>
          <w:rFonts w:cs="Arial" w:ascii="Arial" w:hAnsi="Arial"/>
          <w:strike/>
          <w:u w:val="none"/>
        </w:rPr>
        <w:t>º</w:t>
      </w:r>
      <w:r>
        <w:rPr>
          <w:rFonts w:cs="Arial" w:ascii="Arial" w:hAnsi="Arial"/>
          <w:u w:val="none"/>
        </w:rPr>
        <w:t xml:space="preserve"> e 5</w:t>
      </w:r>
      <w:r>
        <w:rPr>
          <w:rFonts w:cs="Arial" w:ascii="Arial" w:hAnsi="Arial"/>
          <w:strike/>
          <w:u w:val="none"/>
        </w:rPr>
        <w:t>º</w:t>
      </w:r>
      <w:r>
        <w:rPr>
          <w:rFonts w:cs="Arial" w:ascii="Arial" w:hAnsi="Arial"/>
          <w:u w:val="none"/>
        </w:rPr>
        <w:t xml:space="preserve"> do art. 36.</w:t>
      </w:r>
    </w:p>
    <w:p>
      <w:pPr>
        <w:pStyle w:val="Normal"/>
        <w:ind w:firstLine="851"/>
        <w:jc w:val="both"/>
        <w:rPr/>
      </w:pPr>
      <w:r>
        <w:rPr>
          <w:rFonts w:cs="Arial" w:ascii="Arial" w:hAnsi="Arial"/>
        </w:rPr>
        <w:t>Câmara Municipal de Três Passos, em 30 de agosto de 2023.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Diego Hider Maciel</w:t>
      </w:r>
    </w:p>
    <w:p>
      <w:pPr>
        <w:pStyle w:val="Normal"/>
        <w:ind w:firstLine="851"/>
        <w:jc w:val="both"/>
        <w:rPr>
          <w:rFonts w:ascii="Arial" w:hAnsi="Arial" w:cs="Arial"/>
        </w:rPr>
      </w:pPr>
      <w:r>
        <w:rPr>
          <w:rFonts w:cs="Arial" w:ascii="Arial" w:hAnsi="Arial"/>
        </w:rPr>
        <w:t>Vereador da Bancada do PT</w:t>
      </w:r>
    </w:p>
    <w:sectPr>
      <w:headerReference w:type="default" r:id="rId2"/>
      <w:footerReference w:type="default" r:id="rId3"/>
      <w:type w:val="nextPage"/>
      <w:pgSz w:w="11906" w:h="16838"/>
      <w:pgMar w:left="1950" w:right="1134" w:gutter="0" w:header="1134" w:top="3147" w:footer="719" w:bottom="122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2397125</wp:posOffset>
          </wp:positionH>
          <wp:positionV relativeFrom="paragraph">
            <wp:posOffset>-105410</wp:posOffset>
          </wp:positionV>
          <wp:extent cx="794385" cy="113728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5" t="-146" r="-175" b="-146"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1137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jc w:val="center"/>
      <w:rPr>
        <w:rFonts w:ascii="Arial" w:hAnsi="Arial" w:cs="Arial"/>
        <w:b/>
        <w:b/>
        <w:bCs/>
        <w:sz w:val="20"/>
        <w:szCs w:val="20"/>
      </w:rPr>
    </w:pPr>
    <w:r>
      <w:rPr>
        <w:rFonts w:cs="Arial" w:ascii="Arial" w:hAnsi="Arial"/>
        <w:b/>
        <w:bCs/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" w:cs=""/>
      <w:color w:val="2E74B5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RodapChar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>
    <w:name w:val="Corpo de texto Char"/>
    <w:qFormat/>
    <w:rPr>
      <w:sz w:val="28"/>
    </w:rPr>
  </w:style>
  <w:style w:type="character" w:styleId="Corpodetexto2Char">
    <w:name w:val="Corpo de texto 2 Char"/>
    <w:qFormat/>
    <w:rPr>
      <w:sz w:val="24"/>
      <w:szCs w:val="24"/>
    </w:rPr>
  </w:style>
  <w:style w:type="character" w:styleId="TextodebaloChar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>
    <w:name w:val="Corpo de texto 3 Char"/>
    <w:qFormat/>
    <w:rPr>
      <w:sz w:val="16"/>
      <w:szCs w:val="16"/>
    </w:rPr>
  </w:style>
  <w:style w:type="character" w:styleId="Recuodecorpodetexto3Char">
    <w:name w:val="Recuo de corpo de texto 3 Char"/>
    <w:qFormat/>
    <w:rPr>
      <w:sz w:val="16"/>
      <w:szCs w:val="16"/>
    </w:rPr>
  </w:style>
  <w:style w:type="character" w:styleId="RecuodecorpodetextoChar">
    <w:name w:val="Recuo de corpo de texto Char"/>
    <w:qFormat/>
    <w:rPr>
      <w:sz w:val="28"/>
      <w:szCs w:val="24"/>
    </w:rPr>
  </w:style>
  <w:style w:type="character" w:styleId="Recuodecorpodetexto2Char">
    <w:name w:val="Recuo de corpo de texto 2 Char"/>
    <w:qFormat/>
    <w:rPr>
      <w:sz w:val="24"/>
      <w:szCs w:val="24"/>
    </w:rPr>
  </w:style>
  <w:style w:type="character" w:styleId="CabealhoChar">
    <w:name w:val="Cabeçalho Char"/>
    <w:qFormat/>
    <w:rPr>
      <w:sz w:val="24"/>
      <w:szCs w:val="24"/>
    </w:rPr>
  </w:style>
  <w:style w:type="character" w:styleId="Ttulo1Char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>
    <w:name w:val="Subtítulo Char"/>
    <w:qFormat/>
    <w:rPr>
      <w:rFonts w:ascii="Arial" w:hAnsi="Arial" w:cs="Arial"/>
      <w:kern w:val="2"/>
      <w:sz w:val="22"/>
      <w:szCs w:val="24"/>
      <w:lang w:val="es-GQ"/>
    </w:rPr>
  </w:style>
  <w:style w:type="character" w:styleId="Badge">
    <w:name w:val="badge"/>
    <w:qFormat/>
    <w:rPr/>
  </w:style>
  <w:style w:type="character" w:styleId="Appleconvertedspace">
    <w:name w:val="apple-converted-space"/>
    <w:qFormat/>
    <w:rPr/>
  </w:style>
  <w:style w:type="character" w:styleId="A3">
    <w:name w:val="A3"/>
    <w:qFormat/>
    <w:rPr>
      <w:color w:val="000000"/>
      <w:sz w:val="18"/>
      <w:szCs w:val="18"/>
    </w:rPr>
  </w:style>
  <w:style w:type="character" w:styleId="Ttulo2Char">
    <w:name w:val="Título 2 Char"/>
    <w:qFormat/>
    <w:rPr>
      <w:rFonts w:ascii="Calibri Light" w:hAnsi="Calibri Light" w:eastAsia="" w:cs=""/>
      <w:color w:val="2E74B5"/>
      <w:sz w:val="26"/>
      <w:szCs w:val="26"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paragraph" w:styleId="Ttulo">
    <w:name w:val="Título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-180" w:right="0" w:hanging="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right="0" w:hanging="0"/>
    </w:pPr>
    <w:rPr>
      <w:sz w:val="16"/>
      <w:szCs w:val="16"/>
    </w:rPr>
  </w:style>
  <w:style w:type="paragraph" w:styleId="BodyText2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Artigo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qFormat/>
    <w:pPr>
      <w:spacing w:lineRule="auto" w:line="276" w:before="120" w:after="120"/>
      <w:ind w:left="1416" w:right="0" w:hanging="0"/>
      <w:jc w:val="both"/>
    </w:pPr>
    <w:rPr>
      <w:rFonts w:ascii="Arial" w:hAnsi="Arial" w:cs="Arial"/>
      <w:kern w:val="2"/>
      <w:sz w:val="22"/>
      <w:lang w:val="es-GQ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245</TotalTime>
  <Application>LibreOffice/7.4.2.3$Windows_X86_64 LibreOffice_project/382eef1f22670f7f4118c8c2dd222ec7ad009daf</Application>
  <AppVersion>15.0000</AppVersion>
  <Pages>2</Pages>
  <Words>725</Words>
  <Characters>3615</Characters>
  <CharactersWithSpaces>4323</CharactersWithSpaces>
  <Paragraphs>27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2023-05-03T16:40:00Z</dcterms:created>
  <dc:creator>CAMARA MUNICIPAL DE VEREADORES DE TRES PASSOS</dc:creator>
  <dc:description/>
  <dc:language>pt-BR</dc:language>
  <cp:lastModifiedBy/>
  <cp:lastPrinted>2023-08-25T15:37:40Z</cp:lastPrinted>
  <dcterms:modified xsi:type="dcterms:W3CDTF">2023-09-07T09:27:08Z</dcterms:modified>
  <cp:revision>42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