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SUBEMENDA À EMENDA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15/2023</w:t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Senhor Presidente da Comissão do Orçamento e Finanças: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</w:rPr>
        <w:t>O Vereador infra firmado, usando das legais e regimentais atribuições inerentes ao cargo que ocupa e a sua função de parlamentar, vem, perante Vossa Senhoria apresentar Subemenda à Emenda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15/2023 ao projeto de lei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95/23, que dispõe sobre as diretrizes orçamentárias para o exercício financeiro de 2024, </w:t>
      </w:r>
      <w:r>
        <w:rPr>
          <w:rFonts w:cs="Arial" w:ascii="Arial" w:hAnsi="Arial"/>
          <w:iCs/>
        </w:rPr>
        <w:t xml:space="preserve">e </w:t>
      </w:r>
      <w:r>
        <w:rPr>
          <w:rFonts w:cs="Arial" w:ascii="Arial" w:hAnsi="Arial"/>
        </w:rPr>
        <w:t>se encontra na Comissão de Orçamento e Finanças, nos seguintes termos:</w:t>
      </w:r>
    </w:p>
    <w:p>
      <w:pPr>
        <w:pStyle w:val="Normal"/>
        <w:ind w:firstLine="851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  <w:u w:val="single"/>
        </w:rPr>
        <w:t>Subemenda</w:t>
      </w:r>
      <w:r>
        <w:rPr>
          <w:rFonts w:cs="Arial" w:ascii="Arial" w:hAnsi="Arial"/>
          <w:u w:val="none"/>
        </w:rPr>
        <w:t>: Altera o inciso II do art. 37 e inclui o § 2</w:t>
      </w:r>
      <w:r>
        <w:rPr>
          <w:rFonts w:cs="Arial" w:ascii="Arial" w:hAnsi="Arial"/>
          <w:strike/>
          <w:u w:val="none"/>
        </w:rPr>
        <w:t>º</w:t>
      </w:r>
      <w:r>
        <w:rPr>
          <w:rFonts w:cs="Arial" w:ascii="Arial" w:hAnsi="Arial"/>
          <w:u w:val="none"/>
        </w:rPr>
        <w:t xml:space="preserve"> ao art. 36 do projeto de lei n</w:t>
      </w:r>
      <w:r>
        <w:rPr>
          <w:rFonts w:cs="Arial" w:ascii="Arial" w:hAnsi="Arial"/>
          <w:strike/>
          <w:u w:val="none"/>
        </w:rPr>
        <w:t>º</w:t>
      </w:r>
      <w:r>
        <w:rPr>
          <w:rFonts w:cs="Arial" w:ascii="Arial" w:hAnsi="Arial"/>
          <w:u w:val="none"/>
        </w:rPr>
        <w:t xml:space="preserve"> 95, de 2023, com a seguinte redação:</w:t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  <w:u w:val="none"/>
        </w:rPr>
        <w:t>“</w:t>
      </w:r>
      <w:r>
        <w:rPr>
          <w:rFonts w:cs="Arial" w:ascii="Arial" w:hAnsi="Arial"/>
          <w:u w:val="none"/>
        </w:rPr>
        <w:t>Art. 37. ………………………….</w:t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  <w:u w:val="none"/>
        </w:rPr>
        <w:t>I - …………………………………</w:t>
      </w:r>
    </w:p>
    <w:p>
      <w:pPr>
        <w:pStyle w:val="Normal"/>
        <w:widowControl/>
        <w:suppressAutoHyphens w:val="true"/>
        <w:bidi w:val="0"/>
        <w:spacing w:before="0" w:after="0"/>
        <w:ind w:left="794" w:right="0" w:hanging="0"/>
        <w:jc w:val="both"/>
        <w:rPr/>
      </w:pPr>
      <w:r>
        <w:rPr>
          <w:rFonts w:cs="Arial" w:ascii="Arial" w:hAnsi="Arial"/>
          <w:u w:val="none"/>
        </w:rPr>
        <w:t xml:space="preserve">II - </w:t>
      </w:r>
      <w:r>
        <w:rPr>
          <w:rFonts w:cs="Arial" w:ascii="Arial" w:hAnsi="Arial"/>
          <w:b w:val="false"/>
          <w:bCs w:val="false"/>
          <w:u w:val="none"/>
        </w:rPr>
        <w:t xml:space="preserve"> em até trinta dias após o término do prazo previsto no inciso I ou após o encaminhamento da comunicação do impedimento de ordem técnica, o Poder Legislativo indicará ao Poder Executivo o remanejamento da programação cujo impedimento seja insuperável;</w:t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  <w:u w:val="none"/>
        </w:rPr>
        <w:t>……………………………………</w:t>
      </w:r>
      <w:r>
        <w:rPr>
          <w:rFonts w:cs="Arial" w:ascii="Arial" w:hAnsi="Arial"/>
          <w:u w:val="none"/>
        </w:rPr>
        <w:t>.”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Arial" w:hAnsi="Arial" w:cs="Arial"/>
          <w:b w:val="false"/>
          <w:b w:val="false"/>
          <w:bCs w:val="false"/>
          <w:u w:val="none"/>
        </w:rPr>
      </w:pPr>
      <w:r>
        <w:rPr>
          <w:rFonts w:cs="Arial" w:ascii="Arial" w:hAnsi="Arial"/>
          <w:b w:val="false"/>
          <w:bCs w:val="false"/>
          <w:u w:val="none"/>
        </w:rPr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rFonts w:cs="Arial" w:ascii="Arial" w:hAnsi="Arial"/>
          <w:b w:val="false"/>
          <w:bCs w:val="false"/>
          <w:u w:val="none"/>
        </w:rPr>
        <w:t>“</w:t>
      </w:r>
      <w:r>
        <w:rPr>
          <w:rFonts w:cs="Arial" w:ascii="Arial" w:hAnsi="Arial"/>
          <w:b w:val="false"/>
          <w:bCs w:val="false"/>
          <w:u w:val="none"/>
        </w:rPr>
        <w:t>Art. 36. ………………..………….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rFonts w:cs="Arial" w:ascii="Arial" w:hAnsi="Arial"/>
          <w:b w:val="false"/>
          <w:bCs w:val="false"/>
          <w:u w:val="none"/>
        </w:rPr>
        <w:t>…………………………………</w:t>
      </w:r>
      <w:r>
        <w:rPr>
          <w:rFonts w:cs="Arial" w:ascii="Arial" w:hAnsi="Arial"/>
          <w:b w:val="false"/>
          <w:bCs w:val="false"/>
          <w:u w:val="none"/>
        </w:rPr>
        <w:t>......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rFonts w:cs="Arial" w:ascii="Arial" w:hAnsi="Arial"/>
          <w:b w:val="false"/>
          <w:bCs w:val="false"/>
          <w:u w:val="none"/>
        </w:rPr>
        <w:t>§ 2</w:t>
      </w:r>
      <w:r>
        <w:rPr>
          <w:rFonts w:cs="Arial" w:ascii="Arial" w:hAnsi="Arial"/>
          <w:b w:val="false"/>
          <w:bCs w:val="false"/>
          <w:strike/>
          <w:u w:val="none"/>
        </w:rPr>
        <w:t>º</w:t>
      </w:r>
      <w:r>
        <w:rPr>
          <w:rFonts w:cs="Arial" w:ascii="Arial" w:hAnsi="Arial"/>
          <w:b w:val="false"/>
          <w:bCs w:val="false"/>
          <w:u w:val="none"/>
        </w:rPr>
        <w:t xml:space="preserve"> Não constitui impedimento de ordem técnica a indevida classificação da despesa ou erros formais que possam ser sanados por meio de ato próprio ou créditos adicionais.”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Arial" w:hAnsi="Arial" w:cs="Arial"/>
          <w:b w:val="false"/>
          <w:b w:val="false"/>
          <w:bCs w:val="false"/>
          <w:u w:val="none"/>
        </w:rPr>
      </w:pPr>
      <w:r>
        <w:rPr>
          <w:rFonts w:cs="Arial" w:ascii="Arial" w:hAnsi="Arial"/>
          <w:b w:val="false"/>
          <w:bCs w:val="false"/>
          <w:u w:val="none"/>
        </w:rPr>
      </w:r>
    </w:p>
    <w:p>
      <w:pPr>
        <w:pStyle w:val="Normal"/>
        <w:ind w:left="85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Justificativa: 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Pretende-se, com esta subemenda, alterar o conteúdo do inciso II do art. 37 e incluir o § 2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do art. 36 do projeto de lei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95/23, com base nas alterações a serem promovidas pela Emenda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15/23 do PL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95/23, a fim de prever no texto da LDO para 2024 que: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- se houver o encaminhamento de impedimento de ordem técnica à execução de emenda impositiva, antes do prazo de cento e vinte dias, o Legislativo terá trinta dias para indicar o remanejamento, contados a partir da data da comunicação do Executivo. 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- não irá constituir impedimento de ordem técnica a incorreta classificação da despesa (dotação/rubrica orçamentária) na emenda impositiva.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</w:rPr>
        <w:t>Câmara Municipal de Três Passos, em 6 de setembro de 2023.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Diego Hider Maciel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 da Bancada do PT</w:t>
      </w:r>
    </w:p>
    <w:sectPr>
      <w:headerReference w:type="default" r:id="rId2"/>
      <w:footerReference w:type="default" r:id="rId3"/>
      <w:type w:val="nextPage"/>
      <w:pgSz w:w="11906" w:h="16838"/>
      <w:pgMar w:left="1950" w:right="1134" w:gutter="0" w:header="1134" w:top="3147" w:footer="719" w:bottom="122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2">
          <wp:simplePos x="0" y="0"/>
          <wp:positionH relativeFrom="column">
            <wp:posOffset>2397125</wp:posOffset>
          </wp:positionH>
          <wp:positionV relativeFrom="paragraph">
            <wp:posOffset>-105410</wp:posOffset>
          </wp:positionV>
          <wp:extent cx="794385" cy="113728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5" t="-146" r="-175" b="-146"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1137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jc w:val="center"/>
      <w:rPr>
        <w:rFonts w:ascii="Arial" w:hAnsi="Arial" w:cs="Arial"/>
        <w:b/>
        <w:b/>
        <w:bCs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" w:cs="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es-GQ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" w:cs=""/>
      <w:color w:val="2E74B5"/>
      <w:sz w:val="26"/>
      <w:szCs w:val="26"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  <w:lang w:val="es-GQ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295</TotalTime>
  <Application>LibreOffice/7.4.2.3$Windows_X86_64 LibreOffice_project/382eef1f22670f7f4118c8c2dd222ec7ad009daf</Application>
  <AppVersion>15.0000</AppVersion>
  <Pages>1</Pages>
  <Words>342</Words>
  <Characters>1751</Characters>
  <CharactersWithSpaces>2079</CharactersWithSpaces>
  <Paragraphs>22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2023-05-03T16:40:00Z</dcterms:created>
  <dc:creator>CAMARA MUNICIPAL DE VEREADORES DE TRES PASSOS</dc:creator>
  <dc:description/>
  <dc:language>pt-BR</dc:language>
  <cp:lastModifiedBy/>
  <cp:lastPrinted>2023-08-25T15:37:40Z</cp:lastPrinted>
  <dcterms:modified xsi:type="dcterms:W3CDTF">2023-09-11T15:04:36Z</dcterms:modified>
  <cp:revision>50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