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15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21</w:t>
      </w:r>
      <w:r>
        <w:rPr/>
        <w:t xml:space="preserve">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20</w:t>
      </w:r>
      <w:r>
        <w:rPr/>
        <w:t xml:space="preserve"> de novembro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39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5.496, </w:t>
      </w:r>
      <w:r>
        <w:rPr/>
        <w:t xml:space="preserve">de 17 de setembro de 2019, </w:t>
      </w:r>
      <w:r>
        <w:rPr/>
        <w:t>que dispõe sobre a reestruturação do plano de classificação de cargos e funções, criação e extinção de cargos, estabelece o plano de pagamento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139</w:t>
      </w:r>
      <w:r>
        <w:rPr>
          <w:b/>
          <w:bCs/>
        </w:rPr>
        <w:t>, DE 2</w:t>
      </w:r>
      <w:r>
        <w:rPr>
          <w:b/>
          <w:bCs/>
        </w:rPr>
        <w:t>6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5.496, </w:t>
      </w:r>
      <w:r>
        <w:rPr/>
        <w:t xml:space="preserve">de 17 de setembro de 2019, </w:t>
      </w:r>
      <w:r>
        <w:rPr/>
        <w:t>que dispõe sobre a reestruturação do plano de classificação de cargos e funções, criação e extinção de cargos, estabelece o plano de pagamento.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 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O 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5.496, de 17 de setembro de 2019, passa a vigorar com a seguinte redação: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Art. 4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elacomgrade"/>
        <w:tblW w:w="7140" w:type="dxa"/>
        <w:jc w:val="left"/>
        <w:tblInd w:w="7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1980"/>
        <w:gridCol w:w="690"/>
        <w:gridCol w:w="1350"/>
        <w:gridCol w:w="1485"/>
        <w:gridCol w:w="1020"/>
      </w:tblGrid>
      <w:tr>
        <w:trPr/>
        <w:tc>
          <w:tcPr>
            <w:tcW w:w="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Arquiteto</w:t>
            </w:r>
          </w:p>
        </w:tc>
        <w:tc>
          <w:tcPr>
            <w:tcW w:w="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40 horas</w:t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R$ 5.205,20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1.07.10</w:t>
            </w:r>
          </w:p>
        </w:tc>
      </w:tr>
      <w:tr>
        <w:trPr/>
        <w:tc>
          <w:tcPr>
            <w:tcW w:w="6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02</w:t>
            </w:r>
            <w:bookmarkStart w:id="1" w:name="_GoBack1"/>
            <w:bookmarkEnd w:id="1"/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Engenheiro Civil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37,5 horas</w:t>
            </w:r>
          </w:p>
        </w:tc>
        <w:tc>
          <w:tcPr>
            <w:tcW w:w="1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R$ 5.205,20</w:t>
            </w:r>
          </w:p>
        </w:tc>
        <w:tc>
          <w:tcPr>
            <w:tcW w:w="10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1.08.10</w:t>
            </w:r>
          </w:p>
        </w:tc>
      </w:tr>
      <w:tr>
        <w:trPr/>
        <w:tc>
          <w:tcPr>
            <w:tcW w:w="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568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……………………………………………” 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LibreOffice/7.4.2.3$Windows_X86_64 LibreOffice_project/382eef1f22670f7f4118c8c2dd222ec7ad009daf</Application>
  <AppVersion>15.0000</AppVersion>
  <Pages>2</Pages>
  <Words>255</Words>
  <Characters>1248</Characters>
  <CharactersWithSpaces>1475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2023-11-21T10:59:41Z</cp:lastPrinted>
  <dcterms:modified xsi:type="dcterms:W3CDTF">2023-11-21T10:59:37Z</dcterms:modified>
  <cp:revision>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