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16</w:t>
      </w:r>
      <w:r>
        <w:rPr/>
        <w:t>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21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20 de novembro de 2023, aprovou o PROJETO DE LEI ORDINÁRIA N</w:t>
      </w:r>
      <w:r>
        <w:rPr>
          <w:strike/>
        </w:rPr>
        <w:t>º</w:t>
      </w:r>
      <w:r>
        <w:rPr/>
        <w:t xml:space="preserve"> 14</w:t>
      </w:r>
      <w:r>
        <w:rPr/>
        <w:t>5</w:t>
      </w:r>
      <w:r>
        <w:rPr/>
        <w:t>, de 2023,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</w:t>
      </w:r>
      <w:bookmarkStart w:id="0" w:name="_GoBack"/>
      <w:bookmarkEnd w:id="0"/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14</w:t>
      </w:r>
      <w:r>
        <w:rPr>
          <w:b/>
          <w:bCs/>
        </w:rPr>
        <w:t>5</w:t>
      </w:r>
      <w:r>
        <w:rPr>
          <w:b/>
          <w:bCs/>
        </w:rPr>
        <w:t>, DE 31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Fica au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toriza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abertura de crédito suplementar junto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Secretaria Municipal de Transportes, conforme segue: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07 – SECRETARIA MUNICIPAL DE TRANSPORTES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1.025 – Construção de Pontes e Bueiros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175 – 4.4.90.51.00.00.00.00.1501 – Obras e Instalações  – R$ 200.000,00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2.028  – Obras, Manutenção, Conservação e Sinalização de Estradas Municipais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177 – 3.3.90.39.00.00.00.00.1501 – Outros Serv Terc. P. Jurídica R$ 50.000,00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178 – 4.4.90.51.00.00.00.00.1501 – Obras e Instalações  – R$ 200.000,00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2.119 – Manutenção da Frota de Veículos e Maquinas da Smt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181 – 3.3.90.39.00.00.00.00.1501 – Outros Serv. Terc. P. Jurídica – R$ 50.000,00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ab/>
        <w:tab/>
        <w:tab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cobertura da despesa a ser suplementada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n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 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desta Lei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excesso de arrecadação em 2023, recursos 1501.0000 (Outros Recursos não Vinculados), no valor de R$ 500.000,00 (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q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uinhentos mil reais).</w:t>
        <w:tab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LibreOffice/7.4.2.3$Windows_X86_64 LibreOffice_project/382eef1f22670f7f4118c8c2dd222ec7ad009daf</Application>
  <AppVersion>15.0000</AppVersion>
  <Pages>2</Pages>
  <Words>326</Words>
  <Characters>1734</Characters>
  <CharactersWithSpaces>2063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2023-11-22T10:02:06Z</cp:lastPrinted>
  <dcterms:modified xsi:type="dcterms:W3CDTF">2023-11-22T10:02:02Z</dcterms:modified>
  <cp:revision>38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