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18</w:t>
      </w:r>
      <w:r>
        <w:rPr/>
        <w:t>8</w:t>
      </w:r>
      <w:r>
        <w:rPr/>
        <w:t xml:space="preserve"> DE 2023</w:t>
      </w:r>
    </w:p>
    <w:p>
      <w:pPr>
        <w:pStyle w:val="Normal"/>
        <w:jc w:val="both"/>
        <w:rPr/>
      </w:pPr>
      <w:r>
        <w:rPr/>
        <w:t>Em 12 de dezembro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11 de dezembro de 2023, aprovou o PROJETO DE LEI ORDINÁRIA N</w:t>
      </w:r>
      <w:r>
        <w:rPr>
          <w:strike/>
        </w:rPr>
        <w:t>º</w:t>
      </w:r>
      <w:r>
        <w:rPr/>
        <w:t xml:space="preserve"> 1</w:t>
      </w:r>
      <w:r>
        <w:rPr/>
        <w:t>71</w:t>
      </w:r>
      <w:r>
        <w:rPr/>
        <w:t>, de 2023, de sua autoria, que “</w:t>
      </w:r>
      <w:r>
        <w:rPr/>
        <w:t>i</w:t>
      </w:r>
      <w:r>
        <w:rPr/>
        <w:t xml:space="preserve">nstitui o Programa de Incentivo ao Desenvolvimento Econômico </w:t>
      </w:r>
      <w:r>
        <w:rPr/>
        <w:t>d</w:t>
      </w:r>
      <w:r>
        <w:rPr/>
        <w:t>e Três Passos – PROSPERAR 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0" allowOverlap="1" relativeHeight="11">
            <wp:simplePos x="0" y="0"/>
            <wp:positionH relativeFrom="column">
              <wp:posOffset>2287270</wp:posOffset>
            </wp:positionH>
            <wp:positionV relativeFrom="paragraph">
              <wp:posOffset>156210</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N</w:t>
      </w:r>
      <w:r>
        <w:rPr>
          <w:bCs/>
          <w:strike/>
        </w:rPr>
        <w:t>º</w:t>
      </w:r>
      <w:r>
        <w:rPr>
          <w:b/>
          <w:bCs/>
        </w:rPr>
        <w:t xml:space="preserve"> 1</w:t>
      </w:r>
      <w:r>
        <w:rPr>
          <w:b/>
          <w:bCs/>
        </w:rPr>
        <w:t>71</w:t>
      </w:r>
      <w:r>
        <w:rPr>
          <w:b/>
          <w:bCs/>
        </w:rPr>
        <w:t>, DE 2</w:t>
      </w:r>
      <w:r>
        <w:rPr>
          <w:b/>
          <w:bCs/>
        </w:rPr>
        <w:t>2</w:t>
      </w:r>
      <w:r>
        <w:rPr>
          <w:b/>
          <w:bCs/>
        </w:rPr>
        <w:t xml:space="preserve"> DE NOVEMBRO DE 2023</w:t>
      </w:r>
    </w:p>
    <w:p>
      <w:pPr>
        <w:pStyle w:val="Normal"/>
        <w:jc w:val="both"/>
        <w:rPr>
          <w:rFonts w:cs="Arial"/>
        </w:rPr>
      </w:pPr>
      <w:r>
        <w:rPr>
          <w:rFonts w:cs="Arial"/>
        </w:rPr>
      </w:r>
    </w:p>
    <w:p>
      <w:pPr>
        <w:pStyle w:val="Normal"/>
        <w:ind w:left="4535" w:hanging="0"/>
        <w:jc w:val="both"/>
        <w:rPr/>
      </w:pPr>
      <w:r>
        <w:rPr/>
        <w:t xml:space="preserve">Institui o Programa de Incentivo ao Desenvolvimento Econômico </w:t>
      </w:r>
      <w:r>
        <w:rPr/>
        <w:t>d</w:t>
      </w:r>
      <w:r>
        <w:rPr/>
        <w:t>e Três Passos – PROSPERAR e dá outras providências.</w:t>
      </w:r>
    </w:p>
    <w:p>
      <w:pPr>
        <w:pStyle w:val="Normal"/>
        <w:ind w:left="4535" w:hanging="0"/>
        <w:jc w:val="both"/>
        <w:rPr>
          <w:rFonts w:ascii="Times New Roman" w:hAnsi="Times New Roman"/>
          <w:sz w:val="24"/>
          <w:szCs w:val="24"/>
        </w:rPr>
      </w:pPr>
      <w:r>
        <w:rPr>
          <w:sz w:val="24"/>
          <w:szCs w:val="24"/>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Fica o Poder Executivo Municipal autorizado a instituir o PROGRAMA DE  INCENTIVO AO DESENVOLVIMENTO ECONÔMICO DE TRÊS PASSOS – PROSPERAR, que dispõe sobre a política de incentivo ao desenvolvimento econômico e social do município de Três Passos, cria a Comissão Especial de Análise Técnica e dá outras providências.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política de incentivo ao desenvolvimento econômico e social do Município atenderá ao disposto nesta Lei.</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Município, mediante Lei especifica a ser aprovada pela Câmara Municipal de Vereadores, cujo projeto deve ser encaminhado acompanhado de documentos de todo o empreendimento, bem como prévia demonstração do interesse público, nos termos desta Lei, poderá conceder incentivos, sob as diversas formas nela previstos, a produtores e empresas industriais, comerciais, de prestação de serviços e agroindustriais, levando em conta a função social decorrente da criação de emprego e renda e a importância para a economia do Município.</w:t>
      </w:r>
    </w:p>
    <w:p>
      <w:pPr>
        <w:pStyle w:val="Normal"/>
        <w:ind w:firstLine="709"/>
        <w:jc w:val="both"/>
        <w:rPr>
          <w:rFonts w:ascii="Times New Roman" w:hAnsi="Times New Roman"/>
          <w:sz w:val="24"/>
          <w:szCs w:val="24"/>
        </w:rPr>
      </w:pPr>
      <w:r>
        <w:rPr/>
      </w:r>
    </w:p>
    <w:p>
      <w:pPr>
        <w:pStyle w:val="Normal"/>
        <w:widowControl/>
        <w:suppressAutoHyphens w:val="true"/>
        <w:bidi w:val="0"/>
        <w:spacing w:before="0" w:after="0"/>
        <w:ind w:left="0" w:right="0" w:hanging="0"/>
        <w:jc w:val="center"/>
        <w:rPr>
          <w:rFonts w:ascii="Times New Roman" w:hAnsi="Times New Roman"/>
          <w:sz w:val="24"/>
          <w:szCs w:val="24"/>
        </w:rPr>
      </w:pPr>
      <w:r>
        <w:rPr>
          <w:rFonts w:eastAsia="NSimSun"/>
          <w:color w:val="000000"/>
          <w:kern w:val="2"/>
          <w:sz w:val="24"/>
          <w:szCs w:val="24"/>
          <w:shd w:fill="FFFFFF" w:val="clear"/>
          <w:lang w:bidi="hi-IN"/>
        </w:rPr>
        <w:t>DOS INCENTIVOS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Para fins de instalação ou ampliação da atividade agropecuária ou empresarial, considerando a função social, interesse público e expressão econômica do empreendimento no Município como um todo, os incentivos para novos investimentos poderão consistir, observando a proporcionalidade do mesmo, em:</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Venda subsidiada ou concessão de direito real de uso de terreno, de propriedade do Município ou desapropriado para esta finalidade, vinculado à aquisição pela empresa, no prazo máximo de </w:t>
      </w:r>
      <w:r>
        <w:rPr>
          <w:rFonts w:eastAsia="NSimSun"/>
          <w:color w:val="000000"/>
          <w:kern w:val="2"/>
          <w:sz w:val="24"/>
          <w:szCs w:val="24"/>
          <w:shd w:fill="FFFFFF" w:val="clear"/>
          <w:lang w:bidi="hi-IN"/>
        </w:rPr>
        <w:t>quinze</w:t>
      </w:r>
      <w:r>
        <w:rPr>
          <w:rFonts w:eastAsia="NSimSun"/>
          <w:color w:val="000000"/>
          <w:kern w:val="2"/>
          <w:sz w:val="24"/>
          <w:szCs w:val="24"/>
          <w:shd w:fill="FFFFFF" w:val="clear"/>
          <w:lang w:bidi="hi-IN"/>
        </w:rPr>
        <w:t xml:space="preserve"> anos, ou comprovação de retorno financeiro suficiente para compensar o investimento, conforme regulamento, limitados ao prazo máximo de </w:t>
      </w:r>
      <w:r>
        <w:rPr>
          <w:rFonts w:eastAsia="NSimSun"/>
          <w:color w:val="000000"/>
          <w:kern w:val="2"/>
          <w:sz w:val="24"/>
          <w:szCs w:val="24"/>
          <w:shd w:fill="FFFFFF" w:val="clear"/>
          <w:lang w:bidi="hi-IN"/>
        </w:rPr>
        <w:t>quinze</w:t>
      </w:r>
      <w:r>
        <w:rPr>
          <w:rFonts w:eastAsia="NSimSun"/>
          <w:color w:val="000000"/>
          <w:kern w:val="2"/>
          <w:sz w:val="24"/>
          <w:szCs w:val="24"/>
          <w:shd w:fill="FFFFFF" w:val="clear"/>
          <w:lang w:bidi="hi-IN"/>
        </w:rPr>
        <w:t xml:space="preserve"> anos.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Pagamento de aluguel de prédio destinado ao empreendimento.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Execução de serviços de terraplanagem e transporte de terras, materiais de construção e outros similares.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Bonificação financeira mensal ou anual de acordo com o valor de acréscimo nas receitas municipais e de transferências gerado pelo empreendimento em ICMS e IPVA.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V - Desconto para pagamento tributos municipais, sobre o novo empreendimento, em até 50% (cinquenta por cento), salvo o Imposto Sobre Serviços – ISS, que fica limitado </w:t>
      </w:r>
      <w:r>
        <w:rPr>
          <w:rFonts w:eastAsia="NSimSun"/>
          <w:color w:val="000000"/>
          <w:kern w:val="2"/>
          <w:sz w:val="24"/>
          <w:szCs w:val="24"/>
          <w:shd w:fill="FFFFFF" w:val="clear"/>
          <w:lang w:bidi="hi-IN"/>
        </w:rPr>
        <w:t>à</w:t>
      </w:r>
      <w:r>
        <w:rPr>
          <w:rFonts w:eastAsia="NSimSun"/>
          <w:color w:val="000000"/>
          <w:kern w:val="2"/>
          <w:sz w:val="24"/>
          <w:szCs w:val="24"/>
          <w:shd w:fill="FFFFFF" w:val="clear"/>
          <w:lang w:bidi="hi-IN"/>
        </w:rPr>
        <w:t xml:space="preserve"> aplicação da alíquota mínima de 2% </w:t>
      </w:r>
      <w:r>
        <w:rPr>
          <w:rFonts w:eastAsia="NSimSun"/>
          <w:color w:val="000000"/>
          <w:kern w:val="2"/>
          <w:sz w:val="24"/>
          <w:szCs w:val="24"/>
          <w:shd w:fill="FFFFFF" w:val="clear"/>
          <w:lang w:bidi="hi-IN"/>
        </w:rPr>
        <w:t>(dois por cento)</w:t>
      </w:r>
      <w:r>
        <w:rPr>
          <w:rFonts w:eastAsia="NSimSun"/>
          <w:color w:val="000000"/>
          <w:kern w:val="2"/>
          <w:sz w:val="24"/>
          <w:szCs w:val="24"/>
          <w:shd w:fill="FFFFFF" w:val="clear"/>
          <w:lang w:bidi="hi-IN"/>
        </w:rPr>
        <w: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Orientações no encaminhamento de projetos, pedidos de financiamento e outros, junto a órgãos públicos.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Participação nos custos de implantação e ou manutenção de rede de abastecimento de água e de energia elétrica.</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VIII - Auxílio na implementação de reflorestamento, plantios de mudas de frutíferas e silvícolas, visando ampliação de renda da propriedade e/ou recuperação ambiental de nascentes e vertentes.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IX - Auxílio Financeiro, para aquisição de área para instalação do empreendimento, com restituição por parte de beneficiário, conforme regulamentado nesta lei e decreto que venha a regrá-la.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X - Outros, na forma de lei específica.</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incentivos previstos nesta Lei serão concedidos, sempre por Lei específica, com observância dos seguintes princípios e condições: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I - </w:t>
      </w:r>
      <w:r>
        <w:rPr>
          <w:rFonts w:eastAsia="NSimSun"/>
          <w:color w:val="000000"/>
          <w:kern w:val="2"/>
          <w:sz w:val="24"/>
          <w:szCs w:val="24"/>
          <w:shd w:fill="FFFFFF" w:val="clear"/>
          <w:lang w:bidi="hi-IN"/>
        </w:rPr>
        <w:t>N</w:t>
      </w:r>
      <w:r>
        <w:rPr>
          <w:rFonts w:eastAsia="NSimSun"/>
          <w:color w:val="000000"/>
          <w:kern w:val="2"/>
          <w:sz w:val="24"/>
          <w:szCs w:val="24"/>
          <w:shd w:fill="FFFFFF" w:val="clear"/>
          <w:lang w:bidi="hi-IN"/>
        </w:rPr>
        <w:t xml:space="preserve">o caso de venda subsidiada deverá ser instituída cláusula de reversão e ou substituição de garantia, para o caso de a empresa ou o produtor não executar o objeto na forma do projeto aprovado, ou cessar suas atividades transcorridos menos de </w:t>
      </w:r>
      <w:r>
        <w:rPr>
          <w:rFonts w:eastAsia="NSimSun"/>
          <w:color w:val="000000"/>
          <w:kern w:val="2"/>
          <w:sz w:val="24"/>
          <w:szCs w:val="24"/>
          <w:shd w:fill="FFFFFF" w:val="clear"/>
          <w:lang w:bidi="hi-IN"/>
        </w:rPr>
        <w:t>quinze</w:t>
      </w:r>
      <w:r>
        <w:rPr>
          <w:rFonts w:eastAsia="NSimSun"/>
          <w:color w:val="000000"/>
          <w:kern w:val="2"/>
          <w:sz w:val="24"/>
          <w:szCs w:val="24"/>
          <w:shd w:fill="FFFFFF" w:val="clear"/>
          <w:lang w:bidi="hi-IN"/>
        </w:rPr>
        <w:t xml:space="preserve"> anos contados do início de seu funcionamento, ou </w:t>
      </w:r>
      <w:r>
        <w:rPr>
          <w:rFonts w:eastAsia="NSimSun"/>
          <w:color w:val="000000"/>
          <w:kern w:val="2"/>
          <w:sz w:val="24"/>
          <w:szCs w:val="24"/>
          <w:shd w:fill="FFFFFF" w:val="clear"/>
          <w:lang w:bidi="hi-IN"/>
        </w:rPr>
        <w:t>cinco</w:t>
      </w:r>
      <w:r>
        <w:rPr>
          <w:rFonts w:eastAsia="NSimSun"/>
          <w:color w:val="000000"/>
          <w:kern w:val="2"/>
          <w:sz w:val="24"/>
          <w:szCs w:val="24"/>
          <w:shd w:fill="FFFFFF" w:val="clear"/>
          <w:lang w:bidi="hi-IN"/>
        </w:rPr>
        <w:t xml:space="preserve"> anos após a quitação do benefício; no caso de reversão, o imóvel deverá ser imediatamente devolvido ao Município, ou o beneficiário deverá quitar o mesmo pelo valor avaliado pela municipalidade, desconsiderando qualquer vantagem e, nos casos de outras garantias, passará da mesma forma à titularidade do município.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a) Na venda subsidiada o município poderá conceder até 60% </w:t>
      </w:r>
      <w:r>
        <w:rPr>
          <w:rFonts w:eastAsia="NSimSun"/>
          <w:color w:val="000000"/>
          <w:kern w:val="2"/>
          <w:sz w:val="24"/>
          <w:szCs w:val="24"/>
          <w:shd w:fill="FFFFFF" w:val="clear"/>
          <w:lang w:bidi="hi-IN"/>
        </w:rPr>
        <w:t>(sessenta por cento)</w:t>
      </w:r>
      <w:r>
        <w:rPr>
          <w:rFonts w:eastAsia="NSimSun"/>
          <w:color w:val="000000"/>
          <w:kern w:val="2"/>
          <w:sz w:val="24"/>
          <w:szCs w:val="24"/>
          <w:shd w:fill="FFFFFF" w:val="clear"/>
          <w:lang w:bidi="hi-IN"/>
        </w:rPr>
        <w:t xml:space="preserve"> de desconto sobre o valor venal do imóvel avaliado por comissão de avaliação, mediante as seguintes condições: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1)</w:t>
      </w:r>
      <w:r>
        <w:rPr>
          <w:rFonts w:eastAsia="NSimSun"/>
          <w:color w:val="000000"/>
          <w:kern w:val="2"/>
          <w:sz w:val="24"/>
          <w:szCs w:val="24"/>
          <w:shd w:fill="FFFFFF" w:val="clear"/>
          <w:lang w:bidi="hi-IN"/>
        </w:rPr>
        <w:t xml:space="preserve"> 2% (dois por cento) de desconto para cada emprego do empreendimento até o limite de 60% (sessenta por cento) de desconto;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2) </w:t>
      </w:r>
      <w:r>
        <w:rPr>
          <w:rFonts w:eastAsia="NSimSun"/>
          <w:color w:val="000000"/>
          <w:kern w:val="2"/>
          <w:sz w:val="24"/>
          <w:szCs w:val="24"/>
          <w:shd w:fill="FFFFFF" w:val="clear"/>
          <w:lang w:bidi="hi-IN"/>
        </w:rPr>
        <w:t xml:space="preserve"> O desconto de até 60% (sessenta por cento) só acontecerá se o valor restante, referente aos 40% (quarenta por cento), for suficiente para compensar o valor pago pela municipalidade, pelo imóvel, devidamente corrigidos pelo mesmo índice que corrige os demais tributos municipais.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b) O valor restante será lançado em débitos para com a municipalidade e deverá ser quitado pela empresa de forma monetária ou através da dedução da bonificação prevista no item IV, do art.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desta lei, ficando quitado o imóvel no momento que os pagamentos ou deduções atingirem o valor lançado, ou pela quitação antecipada pelo beneficiado a qualquer tempo, anterior ao final do prazo contratado.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c) Caso o empreendimento não consiga a quitação no período de 15 anos, deverá quitar o saldo restante para finalizar o processo de incentivo.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d) A municipalidade poderá conceder a escritura do imóvel, caso o empreendedor necessite financiar o empreendimento, devendo neste caso o empreendedor dar outros bens em garantia, no valor suficiente para suportar o valor do terreno concedido.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e) O valor lançado será parcelado em até 15 anos em uma fração proporcional, para que anualmente se de quitação, por bonificação ou por ressarcimento financeiro do incentivado.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No caso de pagamento do aluguel do imóvel, o benefício será limitado a 12 (doze) meses, e na concessão de direito real de uso o benefício será limitado a 24 (vinte e quatro) meses, podendo ser prorrogado por igual período ou ser suspenso sempre que constatado o não cumprimento do objeto do mesmo, sujeito à devolução dos valores recebidos;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w:t>
        <w:tab/>
        <w:t>a execução de serviços de aterro, terraplanagem, transporte de terras e outros similares, poderá ser ressarcida posteriormente, até o limite da possibilidade de retorno financeiro estimada na análise técnica do projeto, sendo que o restante, caso a municipalidade venha a fazer, devem ser pagas pelo preço fixado para prestação de serviços a particulares;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O desconto sobre os tributos municipais poderá ser concedido relativamente aos seguintes: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 Até 50% (cinquenta por cento) do Imposto Predial e Territorial Urbano - IPTU incidente sobre o imóvel novo objeto da exploração econômica incentivada.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b) Até 50% (cinquenta por cento) do Imposto sobre a Transmissão “Inter Vivos” de Bens Imóveis - ITBI, incidente na aquisição de imóvel destinado à implantação do empreendimento.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c) Imposto Sobre Serviços – ISS, com redução de alíquota até o mínimo legal estabelecido na legislação federal de 2% (dois por cento).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d) Isenção das taxas relativas à aprovação do projeto.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A bonificação financeira mensal ou anual terá como parâmetros de cálculo o valor de acréscimo financeiro gerado pelo empreendimento, decorrente do aumento do valor adicionado produzido pelo mesmo e somente ocorrerá a partir do exercício em que o incremento da arrecadação se efetivar, limitada a bonificação a 50% (cinquenta por cento) do acréscimo gerado, e ao período de 15 anos, ou a 50% (cinquenta por cento) do valor aplicado pelo empreendedor no projeto aprovado para incentivo;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A bonificação financeira mensal ou anual pelo valor de acréscimo financeiro gerado em IPVA, pelos veículos do empreendedor, servirá como base de cálculo para bonificação e limitar-se-á, no máximo, a 50% (cinquenta por cento) deste valor novo, e somente ocorrerá a partir do mês em que o incremento na arrecadação se efetivar, limitada a bonificação ao período de 15 (quinze) anos ou a 50% (cinquenta por cento) do valor aplicado pelo empreendedor no projeto aprovado para incentivo;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No caso de auxílio financeiro para aquisição de área para instalação do empreendimento, com restituição posterior, quando houver desvio de finalidade, deverá ser feita restituição, com atualização monetária pelo índice oficial adotado pelo município para correção de seus tributos e juros mínimos de 0,5% (meio por cento) ao mês, capitalizáveis anualmente, sendo o prazo do pagamento fixado em função do valor do crédito concedido e do investimento feito pela empresa;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Na hipótese de venda subsidiada, será determinado o valor de mercado do imóvel e o valor do subsídio e, em caso de não cumprimento das obrigações por parte do incentivado, este deverá efetuar o pagamento do valor correspondente ao subsídio com correção monetária pelo índice oficial utilizado pelo município para correção de seus tributos, acrescido de juros de 0,5% (meio por cento) ao mês sobre o valor da avaliação, a partir da data do contrato de promessa de compra e venda, ficando-lhe ressalvada a faculdade de devolução do imóvel com as benfeitorias, sem direito à restituição do valor pago e a indenização.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desconto de até 50% (cinquenta por cento) do IPTU e taxas somente será concedida para o ano posterior ao do requerimento, quando o mesmo for aprovado até o final do primeiro semestre, sendo que os requerimentos efetuados e aprovados no segundo semestre somente obterão desconto para o segundo ano subsequente ao da aprovação e, ambos terão sua duração determinada com base na criação de empregos diretos, em função dos quais o incentivado poderá gozar do benefício: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P</w:t>
      </w:r>
      <w:r>
        <w:rPr>
          <w:rFonts w:eastAsia="NSimSun"/>
          <w:color w:val="000000"/>
          <w:kern w:val="2"/>
          <w:sz w:val="24"/>
          <w:szCs w:val="24"/>
          <w:shd w:fill="FFFFFF" w:val="clear"/>
          <w:lang w:bidi="hi-IN"/>
        </w:rPr>
        <w:t>or 5 (cinco) anos, se contar com mais de 5 (cinco) e até 10 (dez)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w:t>
      </w:r>
      <w:r>
        <w:rPr>
          <w:rFonts w:eastAsia="NSimSun"/>
          <w:color w:val="000000"/>
          <w:kern w:val="2"/>
          <w:sz w:val="24"/>
          <w:szCs w:val="24"/>
          <w:shd w:fill="FFFFFF" w:val="clear"/>
          <w:lang w:bidi="hi-IN"/>
        </w:rPr>
        <w:t>or 6 (seis) anos, se contar com mais de 10 (dez) e até 15 (quinze)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w:t>
      </w:r>
      <w:r>
        <w:rPr>
          <w:rFonts w:eastAsia="NSimSun"/>
          <w:color w:val="000000"/>
          <w:kern w:val="2"/>
          <w:sz w:val="24"/>
          <w:szCs w:val="24"/>
          <w:shd w:fill="FFFFFF" w:val="clear"/>
          <w:lang w:bidi="hi-IN"/>
        </w:rPr>
        <w:t>or 7 (sete) anos, se contar com mais de 15 (quinze) e até 25 (vinte e cinco)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w:t>
      </w:r>
      <w:r>
        <w:rPr>
          <w:rFonts w:eastAsia="NSimSun"/>
          <w:color w:val="000000"/>
          <w:kern w:val="2"/>
          <w:sz w:val="24"/>
          <w:szCs w:val="24"/>
          <w:shd w:fill="FFFFFF" w:val="clear"/>
          <w:lang w:bidi="hi-IN"/>
        </w:rPr>
        <w:t>) por 8 (oito) anos, se contar com mais de 25 (vinte e cinco) e até 50 (cinquenta)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w:t>
      </w:r>
      <w:r>
        <w:rPr>
          <w:rFonts w:eastAsia="NSimSun"/>
          <w:color w:val="000000"/>
          <w:kern w:val="2"/>
          <w:sz w:val="24"/>
          <w:szCs w:val="24"/>
          <w:shd w:fill="FFFFFF" w:val="clear"/>
          <w:lang w:bidi="hi-IN"/>
        </w:rPr>
        <w:t>) por 9 (nove) anos, se contar com mais de 50 (cinquenta) e até 100 (cem)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w:t>
      </w:r>
      <w:r>
        <w:rPr>
          <w:rFonts w:eastAsia="NSimSun"/>
          <w:color w:val="000000"/>
          <w:kern w:val="2"/>
          <w:sz w:val="24"/>
          <w:szCs w:val="24"/>
          <w:shd w:fill="FFFFFF" w:val="clear"/>
          <w:lang w:bidi="hi-IN"/>
        </w:rPr>
        <w:t>) por 10 (dez) anos, se contar com mais de 100 (cem) empregados.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beneficiados por este incentivo deverão comunicar, por escrito, anualmente, o número de empregados a seu serviço, ao Poder Executivo Municipal, cabendo a este efetuar a fiscalização do cumprimento do disposto no §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adequando, se for o caso, o desconto à média mensal de empregados absorvidos, verificada no ano anterior e, em sendo o caso, efetuará o lançamento e cobrança da diferença de tributos disso decorrente.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No caso de desconto de até 50% (cinquenta por cento) do ITBI, o respectivo valor será cobrado com juros e atualização monetária, se o empreendedor não cumprir as condições previstas na proposta oficial, lei específica e contrato entre as partes.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beneficiário dos incentivos descritos nesta lei poderá devolver ao munícipio, a qualquer tempo, os valores recebidos, devidamente corrigidos.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No caso de auxílio financeiro para aquisição de área para instalação do empreendimento, com restituição posterior,  a resolução ou reversão dar-se-ão sem direito a qualquer indenização pelas benfeitorias construídas, cujo valor será considerado como remuneração pelo uso do imóvel, e, no caso do pagamento de aluguel, a devolução se dará pelos valores repassados, devidamente corrigidos, nas formas do parágrafo anterior.</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6</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Os incentivos serão concedidos à vista de requerimento das empresas, durante o prazo fixado em edital para inscrição dos interessados e instruído com os seguintes documentos: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Cópia do ato ou contrato de constituição da empresa e suas alterações, devidamente registrados na Junta Comercial do Estado.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Prova dos registros ou inscrições no cadastro fiscal do Ministério da Fazenda, Secretaria da Fazenda Estadual e do Município de sua sede.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Prova de regularidade, em se tratando de empreendedor já em atividade, quanto 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 tributos e contribuições federais;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b) tributos estaduais;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c) tributos do Município de sua sede;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d) contribuições previdenciárias;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e) FGTS;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f) CNDT.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Projeto detalhado do investimento que pretende realizar, compreendendo construções, instalações, produção estimada, projeção do faturamento mínimo, estimativa do Valor Adicionado Fiscal e/ou Imposto Sobre Serviços a serem gerados para o período do benefício, projeção do número de empregos diretos e indiretos a serem gerados, prazo para o início de funcionamento da atividade e estudo de viabilidade econômica do empreendimento.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Certidão negativa judicial e de protesto de títulos da Comarca a que pertence o município em que a empresa interessada tiver a sua sede.</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Prova de idoneidade econômica, pessoa física e jurídica.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xml:space="preserve">Parágrafo único. O município poderá regulamentar a documentação a ser apresentada, por decreto, em conformidade com a categoria do solicitante, considerando-se no requerimento de que trata o </w:t>
      </w:r>
      <w:r>
        <w:rPr>
          <w:rFonts w:eastAsia="NSimSun"/>
          <w:i/>
          <w:iCs/>
          <w:color w:val="000000"/>
          <w:kern w:val="2"/>
          <w:sz w:val="24"/>
          <w:szCs w:val="24"/>
          <w:shd w:fill="FFFFFF" w:val="clear"/>
          <w:lang w:bidi="hi-IN"/>
        </w:rPr>
        <w:t>caput</w:t>
      </w:r>
      <w:r>
        <w:rPr>
          <w:rFonts w:eastAsia="NSimSun"/>
          <w:color w:val="000000"/>
          <w:kern w:val="2"/>
          <w:sz w:val="24"/>
          <w:szCs w:val="24"/>
          <w:shd w:fill="FFFFFF" w:val="clear"/>
          <w:lang w:bidi="hi-IN"/>
        </w:rPr>
        <w:t>, no mínimo os seguintes elementos: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Valor inicial de investimento.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Área necessária para sua instalação.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Absorção inicial de mão-de-obra e sua projeção futura.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Efetivo aproveitamento de matéria-prima existente no Município.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Viabilidade de funcionamento regular.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Produção inicial estimada.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 - Previsão de Faturamento, Valor Adicionado Fiscal, ISS, empregos diretos e indiretos.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VIII - Atestados de idoneidade financeira fornecidos por instituições bancárias.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IX – Demonstração das disponibilidades financeiras para aplicação no investimento proposto.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b/>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7</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montante de auxílio financeiro ou as espécies de auxílio material a serem concedidos, dependerá do interesse público que ficar comprovado pela análise dos elementos referidos nesta Lei e pela satisfação plena dos requisitos estabelecidos na Lei Complementar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101, </w:t>
      </w:r>
      <w:r>
        <w:rPr>
          <w:rFonts w:eastAsia="NSimSun"/>
          <w:color w:val="000000"/>
          <w:kern w:val="2"/>
          <w:sz w:val="24"/>
          <w:szCs w:val="24"/>
          <w:shd w:fill="FFFFFF" w:val="clear"/>
          <w:lang w:bidi="hi-IN"/>
        </w:rPr>
        <w:t xml:space="preserve">de </w:t>
      </w:r>
      <w:r>
        <w:rPr>
          <w:rFonts w:eastAsia="NSimSun"/>
          <w:color w:val="000000"/>
          <w:kern w:val="2"/>
          <w:sz w:val="24"/>
          <w:szCs w:val="24"/>
          <w:shd w:fill="FFFFFF" w:val="clear"/>
          <w:lang w:bidi="hi-IN"/>
        </w:rPr>
        <w:t>2000.</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8</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Poder Executivo, após as manifestações da Comissão Especial para Análise Técnica (CEAT) e da Assessoria Jurídica, poderá encaminhar o projeto para apreciação do Conselho Municipal de Desenvolvimento Econômico – COMUDE, para parecer favorável ou não,  e, após estas manifestações, decidirá sobre o pedido e elaborará Carta de Intenção, detalhando os compromissos do empreendedor e os benefícios possíveis de serem concedidos pelo Município, encaminhando </w:t>
      </w:r>
      <w:r>
        <w:rPr>
          <w:rFonts w:eastAsia="NSimSun"/>
          <w:color w:val="000000"/>
          <w:kern w:val="2"/>
          <w:sz w:val="24"/>
          <w:szCs w:val="24"/>
          <w:shd w:fill="FFFFFF" w:val="clear"/>
          <w:lang w:bidi="hi-IN"/>
        </w:rPr>
        <w:t>P</w:t>
      </w:r>
      <w:r>
        <w:rPr>
          <w:rFonts w:eastAsia="NSimSun"/>
          <w:color w:val="000000"/>
          <w:kern w:val="2"/>
          <w:sz w:val="24"/>
          <w:szCs w:val="24"/>
          <w:shd w:fill="FFFFFF" w:val="clear"/>
          <w:lang w:bidi="hi-IN"/>
        </w:rPr>
        <w:t>rojeto de Lei ao Poder Legislativo para autorizar a concessão dos incentivos definidos.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9</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Definidos os incentivos em bens imóveis, materiais e serviços a serem fornecidos, o Município quantificará o custo total destes e comunicará o montante ao beneficiado para conhecimento e eventual impugnação.</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10. A entrega de materiais ou a prestação de serviços será precedida de escritura pública do bem dado em garantia, a ser registrada no Cartório de Títulos e Documentos, contendo cláusula expressa de indenização, ao Município, do valor total do incentivo concedido, acrescido de juros de 0,5% (meio por cento) ao mês e correção monetária pelo índice oficial utilizado pelo Município para correção de seus tributos, nos casos descumprimento das metas projetadas na Carta de Intenção, devendo ser prestada garantia real ou pessoal da obrigação de indenizar.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As garantias devem fazer frente somente aos valores investidos pela municipalidade, sendo desnecessária quando o incentivo for específico das previsões do item IV do artigo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desta Lei.</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11. O Município deverá assegurar-se, no ato de concessão de qualquer dos benefícios previstos nesta Lei, do efetivo cumprimento, pelo beneficiado, dos encargos assumidos, com cláusula expressa de revogação dos benefícios no caso de desvio da finalidade inicial e do projeto apresentado, assegurado o ressarcimento dos investimentos efetuados pelo Município, na forma do art. 10.</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12. Terão prioridade aos benefícios desta Lei os empreendimentos que utilizarem maior número de trabalhadores residentes no Município e maior quantidade de matéria-prima local.</w:t>
      </w:r>
    </w:p>
    <w:p>
      <w:pPr>
        <w:pStyle w:val="Normal"/>
        <w:ind w:firstLine="709"/>
        <w:jc w:val="both"/>
        <w:rPr>
          <w:rFonts w:ascii="Times New Roman" w:hAnsi="Times New Roman"/>
          <w:sz w:val="24"/>
          <w:szCs w:val="24"/>
        </w:rPr>
      </w:pPr>
      <w:r>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DO PROGRAMA DE INCENTIVO AO DESENVOLVIMENTO ECONÔMICO E SOCIAL</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13. Fica instituído o Programa Municipal de Desenvolvimento Econômico e Social - sob o nome PROGRAMA DE  INCENTIVO AO DESENVOLVIMENTO ECONÔMICO DE TRÊS PASSOS – PROSPERAR, com o objetivo de apoiar, através dos incentivos materiais e financeiros de que trata esta Lei, os projetos de empresas e pessoas físicas que tenham por objetivo o desenvolvimento econômico e social do Município, mediante investimentos, dos quais resultem a implantação ou expansão das atividades agropecuárias ou de unidades industriais, agroindustriais, comerciais e de prestação de serviços.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14. Fica criado o Fundo Municipal de Desenvolvimento Econômico de TRÊS PASSOS, para alocar os recursos do PROSPERAR:</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administração dos recursos do fundo caberá ao Prefeito Municipal e à Secretaria Municipal da Fazenda.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fundo fica vinculado diretamente a Secretaria Municipal da Fazenda.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liberação dos recursos do fundo e sua destinação cumprirão os termos desta Lei, quando se tratar de incentivos, ou será deliberada e homologada pelo Conselho Municipal de Desenvolvimento Econômico – COMUDE quando os recursos forem provenientes de convênios.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w:t>
      </w:r>
      <w:r>
        <w:rPr>
          <w:rFonts w:eastAsia="NSimSun"/>
          <w:color w:val="000000"/>
          <w:kern w:val="2"/>
          <w:sz w:val="24"/>
          <w:szCs w:val="24"/>
          <w:shd w:fill="FFFFFF" w:val="clear"/>
          <w:lang w:bidi="hi-IN"/>
        </w:rPr>
        <w:t>C</w:t>
      </w:r>
      <w:r>
        <w:rPr>
          <w:rFonts w:eastAsia="NSimSun"/>
          <w:color w:val="000000"/>
          <w:kern w:val="2"/>
          <w:sz w:val="24"/>
          <w:szCs w:val="24"/>
          <w:shd w:fill="FFFFFF" w:val="clear"/>
          <w:lang w:bidi="hi-IN"/>
        </w:rPr>
        <w:t>onstituem recursos do Fundo Municipal de Desenvolvimento Econômico: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 - Os a ele destinados na Lei Orçamentária Anual ou em créditos adicionais.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 - Os provenientes de convênios, acordos, ajustes e outros instrumentos firmados entre o Município e entidades ou órgãos públicos de administração direta e indireta ou empresas privadas, destinados aos fins do programa.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III - os a ele destinados por qualquer pessoa física ou jurídica, nacional ou estrangeira.</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IV – Os provenientes de depósitos específicos de pessoas físicas ou jurídicas, para pagar desapropriações ou bens com objetivo de cumprir os termos desta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 – Os provenientes de aplicações financeiras, juros, multas e afins.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VI – Outros que lhe forem destinados por lei.</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O Fundo Municipal de Desenvolvimento Econômico, será regulamentado no que couber, por decreto do Executivo.</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15. Todo e qualquer incentivo financeiro previsto nesta Lei somente poderá ser concedido se existirem recursos disponíveis, alocados ao Fundo Municipal de Desenvolvimento Econômico, exceto os que não dispendam recursos financeiros.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16. A administração do PROSPERAR será exercida pelas Secretaria Municipal da Fazenda, com assessoramento da Comissão Especial para Análise Técnica (CEAT), parecer do órgão jurídico e apoio da estrutura administrativa.</w:t>
      </w:r>
    </w:p>
    <w:p>
      <w:pPr>
        <w:pStyle w:val="Normal"/>
        <w:ind w:firstLine="709"/>
        <w:jc w:val="both"/>
        <w:rPr>
          <w:rFonts w:ascii="Times New Roman" w:hAnsi="Times New Roman"/>
          <w:sz w:val="24"/>
          <w:szCs w:val="24"/>
        </w:rPr>
      </w:pPr>
      <w:r>
        <w:rPr/>
      </w:r>
    </w:p>
    <w:p>
      <w:pPr>
        <w:pStyle w:val="Normal"/>
        <w:widowControl/>
        <w:suppressAutoHyphens w:val="true"/>
        <w:bidi w:val="0"/>
        <w:spacing w:before="0" w:after="0"/>
        <w:ind w:left="0" w:right="0" w:hanging="0"/>
        <w:jc w:val="center"/>
        <w:rPr>
          <w:rFonts w:eastAsia="NSimSu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rFonts w:eastAsia="NSimSu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olor w:val="000000"/>
          <w:kern w:val="2"/>
          <w:sz w:val="24"/>
          <w:szCs w:val="24"/>
          <w:shd w:fill="FFFFFF" w:val="clear"/>
          <w:lang w:bidi="hi-IN"/>
        </w:rPr>
        <w:t>DA COMISSAO ESPECIAL PARA ANALISE TÉCNICA – CEAT e COMISSÃO ESPECIAL DO CONSELHO MUNICIPAL DE DESENVOLVIMENTO ECONOMICO – CECOM</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17. Fica criada a Comissão Especial para Análise Técnica - CEAT.</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1</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CEAT será constituída por no mínimo três membros, nomeada por portaria do Executivo Municipal e constituída por servidores ou pessoas ligadas direta ou indiretamente a Administração Municipal, com conhecimento de mercado e dos setores ligados a administração, planejamento, fiscalização e arrecadação.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2</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Caberá à CEAT a avaliação da capacidade de retorno que os investidores proporcionarão à municipalidade e à população, devendo esta comissão criar mecanismos e buscar dados que lhe garantam cálculos e projeções aproximadas, que subsidiem o parecer favorável ou não à concessão dos incentivos, avaliação e acompanhamento das prestações de contas efetuadas pelas empresas.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3</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A Comissão Especial do COMUDE – CECOM será constituída por no mínimo cinco membros titulares e cinco suplentes, nomeados por portaria do Executivo Municipal, dentre as lideranças da sociedade e representantes da Administração Municipal.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Caberá ao prefeito municipal, com base no parecer da CEAT, da Comissão Especial do COMUDE – CECOM e dos demais órgãos legalmente previstos, referendar a concessão ou não dos incentivos.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Dar conhecimento à Câmara Municipal de Vereadores de todas as empresas (empreendedores) avaliadas pelo CEAT.</w:t>
      </w:r>
    </w:p>
    <w:p>
      <w:pPr>
        <w:pStyle w:val="Normal"/>
        <w:ind w:firstLine="709"/>
        <w:jc w:val="both"/>
        <w:rPr>
          <w:rFonts w:ascii="Times New Roman" w:hAnsi="Times New Roman"/>
          <w:sz w:val="24"/>
          <w:szCs w:val="24"/>
        </w:rPr>
      </w:pPr>
      <w:r>
        <w:rPr/>
      </w:r>
    </w:p>
    <w:p>
      <w:pPr>
        <w:pStyle w:val="Normal"/>
        <w:widowControl/>
        <w:suppressAutoHyphens w:val="true"/>
        <w:bidi w:val="0"/>
        <w:spacing w:before="0" w:after="0"/>
        <w:ind w:left="0" w:right="0" w:hanging="0"/>
        <w:jc w:val="center"/>
        <w:rPr>
          <w:rFonts w:ascii="Times New Roman" w:hAnsi="Times New Roman"/>
          <w:sz w:val="24"/>
          <w:szCs w:val="24"/>
        </w:rPr>
      </w:pPr>
      <w:r>
        <w:rPr>
          <w:rFonts w:eastAsia="NSimSun"/>
          <w:color w:val="000000"/>
          <w:kern w:val="2"/>
          <w:sz w:val="24"/>
          <w:szCs w:val="24"/>
          <w:shd w:fill="FFFFFF" w:val="clear"/>
          <w:lang w:bidi="hi-IN"/>
        </w:rPr>
        <w:t>DAS DISPOSIÇÕES FINAIS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18. Os incentivos concedidos, sob qualquer de suas formas, serão sempre avaliados ou estimados em moeda corrente nacional, e não poderão exceder a 50% (cinquenta por cento) do investimento direto feito pelas empresas ou pessoas beneficiárias.</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No caso de serem concedidos incentivos fiscais, como desconto de 50% (cinquenta por cento) de tributos municipais ou bonificações pela geração de tributos pelo empreendedor, os respectivos valores serão anualmente mensurados para fins de controle do limite estabelecido neste artigo, e, uma vez atingido o valor máximo, os benefícios fiscais cessarão a partir do mês ou exercício seguinte ao que for atingido o limite. Caso o valor máximo não seja atingido o mesmo cessará no máximo em 15 (quinze) anos, computados do início do recebimento do benefício, nos termos do inciso V, do artigo 5</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19. Os incentivos fiscais previstos no item IX, do art. 4</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somente poderão ser concedidos após cumpridas as exigências do art. 14 da Lei Complementar n</w:t>
      </w:r>
      <w:r>
        <w:rPr>
          <w:rFonts w:eastAsia="NSimSun"/>
          <w:strike/>
          <w:color w:val="000000"/>
          <w:kern w:val="2"/>
          <w:sz w:val="24"/>
          <w:szCs w:val="24"/>
          <w:shd w:fill="FFFFFF" w:val="clear"/>
          <w:lang w:bidi="hi-IN"/>
        </w:rPr>
        <w:t>º</w:t>
      </w:r>
      <w:r>
        <w:rPr>
          <w:rFonts w:eastAsia="NSimSun"/>
          <w:color w:val="000000"/>
          <w:kern w:val="2"/>
          <w:sz w:val="24"/>
          <w:szCs w:val="24"/>
          <w:shd w:fill="FFFFFF" w:val="clear"/>
          <w:lang w:bidi="hi-IN"/>
        </w:rPr>
        <w:t xml:space="preserve"> 101, de 4 de maio de 2000.</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20. Na concessão dos incentivos previstos nesta Lei será dada preferência a empreendimentos que não ocasionam degradação ambiental.</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Nenhum estabelecimento incentivado nos termos desta lei poderá ser implantado e entrar em funcionamento sem o devido licenciamento ambiental, licenciamento sanitário e licenciamento de bombeiros, quando necessário.</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21. Poderá o contribuinte que não atingir as metas propostas, solicitar ajustes de prazos para compensação ou a qualquer tempo, quitar o valor recebido como incentivo, de forma monetária, para receber a quitação financeira e, cumpridos os ritos da Lei, a quitação do processo.</w:t>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Parágrafo único. A quitação do processo se dará quando todas as obrigações contratuais previstas forem cumpridas.</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22. Esta Lei será regulamentada no que couber por decreto do Executivo Municipal.</w:t>
      </w:r>
    </w:p>
    <w:p>
      <w:pPr>
        <w:pStyle w:val="Normal"/>
        <w:ind w:firstLine="709"/>
        <w:jc w:val="both"/>
        <w:rPr>
          <w:rFonts w:ascii="Times New Roman" w:hAnsi="Times New Roman"/>
          <w:sz w:val="24"/>
          <w:szCs w:val="24"/>
        </w:rPr>
      </w:pPr>
      <w:r>
        <w:rPr/>
      </w:r>
    </w:p>
    <w:p>
      <w:pPr>
        <w:pStyle w:val="Normal"/>
        <w:ind w:firstLine="709"/>
        <w:jc w:val="both"/>
        <w:rPr>
          <w:rFonts w:ascii="Times New Roman" w:hAnsi="Times New Roman"/>
          <w:sz w:val="24"/>
          <w:szCs w:val="24"/>
        </w:rPr>
      </w:pPr>
      <w:r>
        <w:rPr>
          <w:rFonts w:eastAsia="NSimSun"/>
          <w:color w:val="000000"/>
          <w:kern w:val="2"/>
          <w:sz w:val="24"/>
          <w:szCs w:val="24"/>
          <w:shd w:fill="FFFFFF" w:val="clear"/>
          <w:lang w:bidi="hi-IN"/>
        </w:rPr>
        <w:t>Art. 23. Esta lei entra em vigor na data de sua publicação.</w:t>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10">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customStyle="1">
    <w:name w:val="Endnote Characters"/>
    <w:qFormat/>
    <w:rPr>
      <w:vertAlign w:val="superscript"/>
    </w:rPr>
  </w:style>
  <w:style w:type="character" w:styleId="Ncoradanotaderodap">
    <w:name w:val="Footnote Reference"/>
    <w:rPr>
      <w:vertAlign w:val="superscript"/>
    </w:rPr>
  </w:style>
  <w:style w:type="character" w:styleId="Strong">
    <w:name w:val="Strong"/>
    <w:qFormat/>
    <w:rsid w:val="00651b48"/>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uiPriority w:val="34"/>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paragraph" w:styleId="Douparagraph" w:customStyle="1">
    <w:name w:val="dou-paragraph"/>
    <w:basedOn w:val="Normal"/>
    <w:qFormat/>
    <w:pPr>
      <w:spacing w:beforeAutospacing="1" w:afterAutospacing="1"/>
    </w:pPr>
    <w:rPr>
      <w:lang w:eastAsia="pt-B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Application>LibreOffice/7.4.2.3$Windows_X86_64 LibreOffice_project/382eef1f22670f7f4118c8c2dd222ec7ad009daf</Application>
  <AppVersion>15.0000</AppVersion>
  <Pages>9</Pages>
  <Words>3438</Words>
  <Characters>18778</Characters>
  <CharactersWithSpaces>22131</CharactersWithSpaces>
  <Paragraphs>125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2023-11-11T20:10:00Z</dcterms:created>
  <dc:creator>CAMARA MUNICIPAL DE VEREADORES DE TRES PASSOS</dc:creator>
  <dc:description/>
  <dc:language>pt-BR</dc:language>
  <cp:lastModifiedBy/>
  <cp:lastPrinted>2023-12-13T10:22:52Z</cp:lastPrinted>
  <dcterms:modified xsi:type="dcterms:W3CDTF">2023-12-13T10:22:13Z</dcterms:modified>
  <cp:revision>193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