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193 DE 2023</w:t>
      </w:r>
    </w:p>
    <w:p>
      <w:pPr>
        <w:pStyle w:val="Normal"/>
        <w:jc w:val="both"/>
        <w:rPr/>
      </w:pPr>
      <w:r>
        <w:rPr/>
        <w:t>Em 12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11 de dezembro de 2023, aprovou o PROJETO DE LEI ORDINÁRIA N</w:t>
      </w:r>
      <w:r>
        <w:rPr>
          <w:strike/>
        </w:rPr>
        <w:t>º</w:t>
      </w:r>
      <w:r>
        <w:rPr/>
        <w:t xml:space="preserve"> 177, de 2023, de sua autoria, que “Altera a Lei  n</w:t>
      </w:r>
      <w:r>
        <w:rPr>
          <w:strike/>
        </w:rPr>
        <w:t>º</w:t>
      </w:r>
      <w:r>
        <w:rPr/>
        <w:t xml:space="preserve"> 5.490, de 27 de agosto de 2019, que criou o Plano de Classificação de Cargos do Instituto de Previdência do Servidor Público do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177, DE 23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 n</w:t>
      </w:r>
      <w:r>
        <w:rPr>
          <w:strike/>
        </w:rPr>
        <w:t>º</w:t>
      </w:r>
      <w:r>
        <w:rPr/>
        <w:t xml:space="preserve"> 5.490, de 27 de agosto de 2019, que criou o Plano de Classificação de Cargos do Instituto de Previdência do Servidor Público do Município de Três Passos.</w:t>
      </w:r>
    </w:p>
    <w:p>
      <w:pPr>
        <w:pStyle w:val="Normal"/>
        <w:ind w:left="4535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 Fixam-se novos valores aos padrões salariais que compõem o quadro de cargos de provimento efetivo do Instituto de Previdência do Servidor Público de Três Passos, entidade fundacional municipal, de que trata o art. 8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5.490, de 27 de agosto de 2019, passando a vigorar da seguinte forma e redação: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"Art. 8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definido o quadro de cargos de provimento efetivo, com respectiva denominação, números de cargos e padrão de vencimento." (NR)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eastAsia="NSimSun"/>
          <w:kern w:val="2"/>
          <w:shd w:fill="FFFFFF" w:val="clear"/>
          <w:lang w:bidi="hi-IN"/>
        </w:rPr>
      </w:pPr>
      <w:r>
        <w:rPr>
          <w:rFonts w:eastAsia="NSimSun"/>
          <w:kern w:val="2"/>
          <w:shd w:fill="FFFFFF" w:val="clear"/>
          <w:lang w:bidi="hi-IN"/>
        </w:rPr>
      </w:r>
    </w:p>
    <w:tbl>
      <w:tblPr>
        <w:tblW w:w="9360" w:type="dxa"/>
        <w:jc w:val="left"/>
        <w:tblInd w:w="0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2504"/>
        <w:gridCol w:w="1591"/>
        <w:gridCol w:w="1695"/>
        <w:gridCol w:w="1861"/>
        <w:gridCol w:w="1709"/>
      </w:tblGrid>
      <w:tr>
        <w:trPr/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auto"/>
                <w:sz w:val="24"/>
                <w:szCs w:val="24"/>
              </w:rPr>
              <w:t>Denominação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auto"/>
                <w:sz w:val="24"/>
                <w:szCs w:val="24"/>
              </w:rPr>
              <w:t>N</w:t>
            </w:r>
            <w:r>
              <w:rPr>
                <w:rFonts w:cs="Calibri"/>
                <w:b/>
                <w:bCs/>
                <w:strike/>
                <w:color w:val="auto"/>
                <w:sz w:val="24"/>
                <w:szCs w:val="24"/>
              </w:rPr>
              <w:t>º</w:t>
            </w:r>
            <w:r>
              <w:rPr>
                <w:rFonts w:cs="Calibri"/>
                <w:b/>
                <w:bCs/>
                <w:color w:val="auto"/>
                <w:sz w:val="24"/>
                <w:szCs w:val="24"/>
              </w:rPr>
              <w:t xml:space="preserve"> de cargos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auto"/>
                <w:sz w:val="24"/>
                <w:szCs w:val="24"/>
              </w:rPr>
              <w:t>Vencimento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auto"/>
                <w:sz w:val="24"/>
                <w:szCs w:val="24"/>
              </w:rPr>
              <w:t>Carga Horária Mensal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auto"/>
                <w:sz w:val="24"/>
                <w:szCs w:val="24"/>
              </w:rPr>
              <w:t>Padrão</w:t>
            </w:r>
          </w:p>
        </w:tc>
      </w:tr>
      <w:tr>
        <w:trPr/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Oficial Previdenciário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R$ 3.634,14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200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06</w:t>
            </w:r>
          </w:p>
        </w:tc>
      </w:tr>
      <w:tr>
        <w:trPr/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Contador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R$ 7.296,89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188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10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no primeiro dia do mês subsequente a sua publicação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Revoga-se a Lei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5.737,  de 4 de maio de 2022.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Application>LibreOffice/7.4.2.3$Windows_X86_64 LibreOffice_project/382eef1f22670f7f4118c8c2dd222ec7ad009daf</Application>
  <AppVersion>15.0000</AppVersion>
  <Pages>2</Pages>
  <Words>316</Words>
  <Characters>1540</Characters>
  <CharactersWithSpaces>1833</CharactersWithSpaces>
  <Paragraphs>34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2023-12-13T11:09:32Z</cp:lastPrinted>
  <dcterms:modified xsi:type="dcterms:W3CDTF">2023-12-13T11:24:21Z</dcterms:modified>
  <cp:revision>222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