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</w:t>
      </w:r>
      <w:r>
        <w:rPr/>
        <w:t xml:space="preserve"> DE 202</w:t>
      </w:r>
      <w:r>
        <w:rPr/>
        <w:t>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20</w:t>
      </w:r>
      <w:r>
        <w:rPr/>
        <w:t xml:space="preserve"> de </w:t>
      </w:r>
      <w:r>
        <w:rPr/>
        <w:t>fevereiro</w:t>
      </w:r>
      <w:r>
        <w:rPr/>
        <w:t xml:space="preserve"> de 202</w:t>
      </w:r>
      <w:r>
        <w:rPr/>
        <w:t>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19 de fevereiro de 2024</w:t>
      </w:r>
      <w:r>
        <w:rPr/>
        <w:t>, aprovou o PROJETO DE LEI COMPLEMENTAR N</w:t>
      </w:r>
      <w:r>
        <w:rPr>
          <w:strike/>
        </w:rPr>
        <w:t>º</w:t>
      </w:r>
      <w:r>
        <w:rPr/>
        <w:t xml:space="preserve"> </w:t>
      </w:r>
      <w:r>
        <w:rPr/>
        <w:t>1</w:t>
      </w:r>
      <w:r>
        <w:rPr/>
        <w:t>, de 202</w:t>
      </w:r>
      <w:r>
        <w:rPr/>
        <w:t>4</w:t>
      </w:r>
      <w:r>
        <w:rPr/>
        <w:t>, de sua autoria, que “</w:t>
      </w:r>
      <w:r>
        <w:rPr/>
        <w:t>a</w:t>
      </w:r>
      <w:r>
        <w:rPr/>
        <w:t>utoriza o Poder Executivo Municipal a proceder na concessão de descontos para pagamento do Imposto Predial e Territorial Urbano - IPTU para o exercício de 2024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COMPLEMENTAR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  <w:strike/>
        </w:rPr>
        <w:t>º</w:t>
      </w:r>
      <w:r>
        <w:rPr>
          <w:b/>
          <w:bCs/>
        </w:rPr>
        <w:t xml:space="preserve"> DE </w:t>
      </w:r>
      <w:r>
        <w:rPr>
          <w:b/>
          <w:bCs/>
        </w:rPr>
        <w:t>FEVEREIRO</w:t>
      </w:r>
      <w:r>
        <w:rPr>
          <w:b/>
          <w:bCs/>
        </w:rPr>
        <w:t xml:space="preserve"> DE 202</w:t>
      </w:r>
      <w:r>
        <w:rPr>
          <w:b/>
          <w:bCs/>
        </w:rPr>
        <w:t>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Municipal a proceder na concessão de descontos para pagamento do Imposto Predial e Territorial Urbano - IPTU para o exercício de 2024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 Imposto Predial e Territorial Urbano – IPTU será lançado em Cota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nica ou em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oito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parcelas mensais consecutivas, conforme tabela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 seguir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 em conformidade com as disposições constantes da tabela V da 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1, de 30 de dezembro de 1991: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4950" w:type="dxa"/>
        <w:jc w:val="left"/>
        <w:tblInd w:w="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3510"/>
      </w:tblGrid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Vencimento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Cota Única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maio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maio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junho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julho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agosto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setembro de cada ano</w:t>
            </w:r>
            <w:bookmarkStart w:id="0" w:name="_GoBack"/>
            <w:bookmarkEnd w:id="0"/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outubro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novembro de cada ano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cs="Arial" w:ascii="Times New Roman" w:hAnsi="Times New Roman"/>
                <w:bCs/>
                <w:strike/>
                <w:sz w:val="24"/>
                <w:szCs w:val="24"/>
                <w:lang w:eastAsia="en-US"/>
              </w:rPr>
              <w:t>ª</w:t>
            </w: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 xml:space="preserve"> parcela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sz w:val="24"/>
                <w:szCs w:val="24"/>
                <w:lang w:eastAsia="en-US"/>
              </w:rPr>
              <w:t>Até 10 de dezembro de cada ano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Fica autorizado o Município a conceder desconto sobre o Imposto Predial e Territorial Urbano - IPTU, referente ao exercício de 2024, no percentual de </w:t>
      </w:r>
      <w:r>
        <w:rPr/>
        <w:t>5% (</w:t>
      </w:r>
      <w:r>
        <w:rPr/>
        <w:t>cinco por cento</w:t>
      </w:r>
      <w:r>
        <w:rPr/>
        <w:t>)</w:t>
      </w:r>
      <w:r>
        <w:rPr/>
        <w:t>, aos contribuintes que efetuarem o pagamento em quota única, até o dia 10 de maio de 2024, desde que o imóvel não possua débitos vencidos, junto ao erário Municipal, relativos àquele imóvel até 31/12/2023.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Parágrafo único. Perderá o direito ao desconto previsto n</w:t>
      </w:r>
      <w:r>
        <w:rPr/>
        <w:t xml:space="preserve">este </w:t>
      </w:r>
      <w:r>
        <w:rPr/>
        <w:t xml:space="preserve">artigo o contribuinte que não efetuar o pagamento da quota única até a data do vencimento.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ab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LibreOffice/7.4.2.3$Windows_X86_64 LibreOffice_project/382eef1f22670f7f4118c8c2dd222ec7ad009daf</Application>
  <AppVersion>15.0000</AppVersion>
  <Pages>2</Pages>
  <Words>416</Words>
  <Characters>1988</Characters>
  <CharactersWithSpaces>2374</CharactersWithSpaces>
  <Paragraphs>40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2024-02-20T09:42:19Z</cp:lastPrinted>
  <dcterms:modified xsi:type="dcterms:W3CDTF">2024-02-20T09:42:15Z</dcterms:modified>
  <cp:revision>114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