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2</w:t>
      </w:r>
      <w:r>
        <w:rPr/>
        <w:t>3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9</w:t>
      </w:r>
      <w:r>
        <w:rPr/>
        <w:t xml:space="preserve">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8</w:t>
      </w:r>
      <w:r>
        <w:rPr/>
        <w:t xml:space="preserve"> de abril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18</w:t>
      </w:r>
      <w:r>
        <w:rPr/>
        <w:t>, de 2024,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5.496, de 17 de setembro de 2019, que dispõe sobre a reestruturação do plano de classificação de cargos e funções, criação e extinção de cargos, estabelece o plano de pagamento</w:t>
      </w:r>
      <w:bookmarkStart w:id="0" w:name="_GoBack"/>
      <w:bookmarkEnd w:id="0"/>
      <w:r>
        <w:rPr/>
        <w:t>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18</w:t>
      </w:r>
      <w:r>
        <w:rPr>
          <w:b/>
          <w:bCs/>
        </w:rPr>
        <w:t xml:space="preserve">, DE </w:t>
      </w:r>
      <w:r>
        <w:rPr>
          <w:b/>
          <w:bCs/>
        </w:rPr>
        <w:t>21</w:t>
      </w:r>
      <w:r>
        <w:rPr>
          <w:b/>
          <w:bCs/>
        </w:rPr>
        <w:t xml:space="preserve"> DE MARÇO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art. 4</w:t>
      </w:r>
      <w:r>
        <w:rPr>
          <w:rFonts w:eastAsia="NSimSun" w:cs="Arial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 w:cs="Arial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2019, 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passa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vigorar com a seguinte redação: 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"Art. 4</w:t>
      </w:r>
      <w:r>
        <w:rPr>
          <w:rFonts w:cs="Arial"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sz w:val="24"/>
          <w:szCs w:val="24"/>
          <w:shd w:fill="FFFFFF" w:val="clear"/>
        </w:rPr>
        <w:t xml:space="preserve"> ........…………………………</w:t>
      </w:r>
    </w:p>
    <w:p>
      <w:pPr>
        <w:pStyle w:val="Normal"/>
        <w:ind w:firstLine="708"/>
        <w:jc w:val="both"/>
        <w:rPr>
          <w:rFonts w:cs="Arial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055" w:type="dxa"/>
        <w:jc w:val="left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015"/>
        <w:gridCol w:w="2830"/>
        <w:gridCol w:w="1132"/>
        <w:gridCol w:w="1510"/>
        <w:gridCol w:w="1503"/>
        <w:gridCol w:w="1064"/>
      </w:tblGrid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</w:rPr>
              <w:t>Total de vagas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</w:rPr>
              <w:t>Denominação dos Cargos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</w:rPr>
              <w:t>Padrão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</w:rPr>
              <w:t>Remuneração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</w:rPr>
              <w:t>Código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..........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Médico Veterinário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37,5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R$ 7.296,89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1.12.10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Instalador Hidráulico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44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R$ 2.995,25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1.50.03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Psicólogo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R$ 7.296,89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1.14.10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Assistente Social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R$ 7.296,89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1.16.10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Enfermeiro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R$ 7.296,89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1.15.10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Farmacêutico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R$ 7.296,89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1.17.10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Técnicos em Enfermagem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R$ 4.755,86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1.24.08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Auxiliar de Farmácia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44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R$ 2.995,25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1.39.05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Contador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37,5 horas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R$ 7.296,89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1.04.10</w:t>
            </w:r>
          </w:p>
        </w:tc>
      </w:tr>
      <w:tr>
        <w:trPr/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...........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Times New Roman" w:hAnsi="Times New Roman" w:cs="Arial"/>
          <w:bCs/>
          <w:color w:val="000000"/>
          <w:sz w:val="24"/>
          <w:szCs w:val="24"/>
          <w:lang w:val="x-none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x-none"/>
        </w:rPr>
      </w:r>
    </w:p>
    <w:p>
      <w:pPr>
        <w:pStyle w:val="BodyText3"/>
        <w:ind w:firstLine="851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</w:t>
      </w:r>
      <w:r>
        <w:rPr>
          <w:rFonts w:cs="Arial" w:ascii="Times New Roman" w:hAnsi="Times New Roman"/>
          <w:sz w:val="24"/>
          <w:szCs w:val="24"/>
        </w:rPr>
        <w:t xml:space="preserve">...................…” </w:t>
      </w:r>
      <w:r>
        <w:rPr>
          <w:rFonts w:cs="Arial" w:ascii="Times New Roman" w:hAnsi="Times New Roman"/>
          <w:sz w:val="24"/>
          <w:szCs w:val="24"/>
        </w:rPr>
        <w:t>(NR)</w:t>
      </w:r>
    </w:p>
    <w:p>
      <w:pPr>
        <w:pStyle w:val="BodyText3"/>
        <w:ind w:firstLine="851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Style w:val="Strong"/>
          <w:rFonts w:eastAsia="NSimSun" w:ascii="Times New Roman" w:hAnsi="Times New Roman"/>
          <w:b w:val="false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Style w:val="Strong"/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Style w:val="Strong"/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Esta Lei entra em vigor na data de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LibreOffice/7.4.2.3$Windows_X86_64 LibreOffice_project/382eef1f22670f7f4118c8c2dd222ec7ad009daf</Application>
  <AppVersion>15.0000</AppVersion>
  <Pages>2</Pages>
  <Words>327</Words>
  <Characters>1638</Characters>
  <CharactersWithSpaces>1893</CharactersWithSpaces>
  <Paragraphs>81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2024-03-26T14:08:00Z</cp:lastPrinted>
  <dcterms:modified xsi:type="dcterms:W3CDTF">2024-04-09T11:16:34Z</dcterms:modified>
  <cp:revision>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