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76/24</w:t>
        <w:tab/>
        <w:tab/>
        <w:tab/>
        <w:tab/>
        <w:t xml:space="preserve">                  Três Passos, 12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25 de 2024 – Autoriza o Poder Executivo proceder na contratação emergencial de um dentista especializado, </w:t>
      </w:r>
      <w:r>
        <w:rPr>
          <w:rFonts w:ascii="Arial" w:hAnsi="Arial"/>
          <w:sz w:val="24"/>
          <w:szCs w:val="24"/>
        </w:rPr>
        <w:t>o envio de Mensagem Retificativa a esta Casa Legislativa, haja vista que na exposição de motivos do PL consta que o profissional a ser contratado atuará na coordenação do laboratório de prótese dentária, porém nas atribuições constantes do Anexo I, não consta tal função, sendo que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8.250/2024 (cópia em anexo), foi apontado que o projeto de lei visa a contratação de um Dentista Especializado para exercer a função de coordenação do laboratório de prótese dentária, porém diante do trabalho a ser executado, salienta-se que suas atribuições demonstram enquadrar-se no trinômio DIREÇÃO-CHEFIA-ASSESSORAMENTO, características constitucionais vinculadas aos cargos comissionados e funções de confiança.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LibreOffice/7.4.2.3$Windows_X86_64 LibreOffice_project/382eef1f22670f7f4118c8c2dd222ec7ad009daf</Application>
  <AppVersion>15.0000</AppVersion>
  <Pages>1</Pages>
  <Words>209</Words>
  <Characters>1223</Characters>
  <CharactersWithSpaces>1447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2024-04-12T13:46:00Z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