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Três Passos, 11 de junho de 2024.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vereador Flavio Habitzreiter, infra firmado, a pedido da Comissão Parlamentar de Inquérito – CPI, instituída com o objetivo de apurar o passivo atuarial do Fundo de Previdência, e se houve negligência em não abertura de processos de contratações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intima Vossa Senhoria para comparecer nesta Casa Legislativa, no dia </w:t>
      </w:r>
      <w:r>
        <w:rPr>
          <w:rFonts w:cs="Times-Roman" w:ascii="Arial" w:hAnsi="Arial"/>
          <w:sz w:val="24"/>
          <w:szCs w:val="24"/>
        </w:rPr>
        <w:t xml:space="preserve">24 </w:t>
      </w:r>
      <w:r>
        <w:rPr>
          <w:rFonts w:cs="Times-Roman" w:ascii="Arial" w:hAnsi="Arial"/>
          <w:sz w:val="24"/>
          <w:szCs w:val="24"/>
        </w:rPr>
        <w:t>de junho de 2024, às 08h30min,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https://sapl.trespassos.rs.leg.br/materia/4305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Marlon Schönhalz,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 do IPSTP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LibreOffice/7.4.2.3$Windows_X86_64 LibreOffice_project/382eef1f22670f7f4118c8c2dd222ec7ad009daf</Application>
  <AppVersion>15.0000</AppVersion>
  <Pages>1</Pages>
  <Words>169</Words>
  <Characters>1007</Characters>
  <CharactersWithSpaces>1169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2024-06-11T09:56:23Z</dcterms:modified>
  <cp:revision>12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