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6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>Em 20 de agosto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19 de agosto de 2024,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9</w:t>
      </w:r>
      <w:r>
        <w:rPr/>
        <w:t xml:space="preserve">, de 2024, de autoria </w:t>
      </w:r>
      <w:r>
        <w:rPr/>
        <w:t xml:space="preserve">do Vereador Edivan Nelsi Baron, </w:t>
      </w:r>
      <w:r>
        <w:rPr/>
        <w:t>que “</w:t>
      </w:r>
      <w:r>
        <w:rPr/>
        <w:t>d</w:t>
      </w:r>
      <w:r>
        <w:rPr/>
        <w:t>enomina a Rua Professora Therezinha Bindé de Araujo”,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</w:t>
      </w:r>
      <w:r>
        <w:rPr>
          <w:b/>
          <w:bCs/>
        </w:rPr>
        <w:t xml:space="preserve">, DE </w:t>
      </w:r>
      <w:r>
        <w:rPr>
          <w:b/>
          <w:bCs/>
        </w:rPr>
        <w:t>15</w:t>
      </w:r>
      <w:r>
        <w:rPr>
          <w:b/>
          <w:bCs/>
        </w:rPr>
        <w:t xml:space="preserve"> DE JULHO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D</w:t>
      </w:r>
      <w:r>
        <w:rPr/>
        <w:t>enomina a Rua Professora Therezinha Bindé de Araujo.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É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denominada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Rua Professora Therezinha Bindé de Araujo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 Rua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8585, trecho compreendido entre a Rua Dary Schroeder até o final do perímetro urbano, localizada no Loteamento Universal, Bairro Pindorama.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306</TotalTime>
  <Application>LibreOffice/7.4.2.3$Windows_X86_64 LibreOffice_project/382eef1f22670f7f4118c8c2dd222ec7ad009daf</Application>
  <AppVersion>15.0000</AppVersion>
  <Pages>2</Pages>
  <Words>192</Words>
  <Characters>996</Characters>
  <CharactersWithSpaces>1178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2024-08-21T11:01:01Z</cp:lastPrinted>
  <dcterms:modified xsi:type="dcterms:W3CDTF">2024-08-21T11:20:36Z</dcterms:modified>
  <cp:revision>83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