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EMENDA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4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Senhor Presidente da </w:t>
      </w:r>
      <w:r>
        <w:rPr>
          <w:rFonts w:cs="Arial" w:ascii="Arial" w:hAnsi="Arial"/>
        </w:rPr>
        <w:t>Câmara Municipal: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A Comissão de Orçamento, Finanças e Infraestrutura Urbana e Rural - COF, através de seus membros, abaixo firmados,</w:t>
      </w:r>
      <w:r>
        <w:rPr>
          <w:rFonts w:cs="Arial" w:ascii="Arial" w:hAnsi="Arial"/>
        </w:rPr>
        <w:t xml:space="preserve"> vem, perante Vossa </w:t>
      </w:r>
      <w:r>
        <w:rPr>
          <w:rFonts w:cs="Arial" w:ascii="Arial" w:hAnsi="Arial"/>
        </w:rPr>
        <w:t>Excelência</w:t>
      </w:r>
      <w:r>
        <w:rPr>
          <w:rFonts w:cs="Arial" w:ascii="Arial" w:hAnsi="Arial"/>
        </w:rPr>
        <w:t xml:space="preserve"> apresentar EMENDA ADITIVA </w:t>
      </w:r>
      <w:r>
        <w:rPr>
          <w:rFonts w:cs="Arial" w:ascii="Arial" w:hAnsi="Arial"/>
        </w:rPr>
        <w:t>E SUPRESSIVA</w:t>
      </w:r>
      <w:r>
        <w:rPr>
          <w:rFonts w:cs="Arial" w:ascii="Arial" w:hAnsi="Arial"/>
        </w:rPr>
        <w:t xml:space="preserve"> ao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62 de 2024</w:t>
      </w:r>
      <w:r>
        <w:rPr>
          <w:rFonts w:cs="Arial" w:ascii="Arial" w:hAnsi="Arial"/>
        </w:rPr>
        <w:t>, que dispõe sobre as diretrizes orçamentárias para o exercício financeiro de 202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iCs/>
        </w:rPr>
        <w:t xml:space="preserve">e </w:t>
      </w:r>
      <w:r>
        <w:rPr>
          <w:rFonts w:cs="Arial" w:ascii="Arial" w:hAnsi="Arial"/>
        </w:rPr>
        <w:t xml:space="preserve">se encontra </w:t>
      </w:r>
      <w:r>
        <w:rPr>
          <w:rFonts w:cs="Arial" w:ascii="Arial" w:hAnsi="Arial"/>
        </w:rPr>
        <w:t>em análise na COF</w:t>
      </w:r>
      <w:r>
        <w:rPr>
          <w:rFonts w:cs="Arial" w:ascii="Arial" w:hAnsi="Arial"/>
        </w:rPr>
        <w:t>, nos seguintes termos:</w:t>
      </w:r>
    </w:p>
    <w:p>
      <w:pPr>
        <w:pStyle w:val="Normal"/>
        <w:ind w:firstLine="851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u w:val="single"/>
        </w:rPr>
        <w:t>Emenda Aditiva</w:t>
      </w:r>
      <w:r>
        <w:rPr>
          <w:rFonts w:cs="Arial" w:ascii="Arial" w:hAnsi="Arial"/>
          <w:u w:val="none"/>
        </w:rPr>
        <w:t xml:space="preserve">: </w:t>
      </w:r>
      <w:r>
        <w:rPr>
          <w:rFonts w:cs="Arial" w:ascii="Arial" w:hAnsi="Arial"/>
          <w:u w:val="none"/>
        </w:rPr>
        <w:t>i</w:t>
      </w:r>
      <w:r>
        <w:rPr>
          <w:rFonts w:cs="Arial" w:ascii="Arial" w:hAnsi="Arial"/>
          <w:u w:val="none"/>
        </w:rPr>
        <w:t>nclui os arts. 37 e 38 ao projeto de lei n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 xml:space="preserve"> </w:t>
      </w:r>
      <w:r>
        <w:rPr>
          <w:rFonts w:cs="Arial" w:ascii="Arial" w:hAnsi="Arial"/>
          <w:u w:val="none"/>
        </w:rPr>
        <w:t>62</w:t>
      </w:r>
      <w:r>
        <w:rPr>
          <w:rFonts w:cs="Arial" w:ascii="Arial" w:hAnsi="Arial"/>
          <w:u w:val="none"/>
        </w:rPr>
        <w:t>, de 202</w:t>
      </w:r>
      <w:r>
        <w:rPr>
          <w:rFonts w:cs="Arial" w:ascii="Arial" w:hAnsi="Arial"/>
          <w:u w:val="none"/>
        </w:rPr>
        <w:t>4</w:t>
      </w:r>
      <w:r>
        <w:rPr>
          <w:rFonts w:cs="Arial" w:ascii="Arial" w:hAnsi="Arial"/>
          <w:u w:val="none"/>
        </w:rPr>
        <w:t>, sendo que o atual art. 37 do PL e os demais artigos subsequentes ficam renumerados para 39 e seguintes: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u w:val="none"/>
        </w:rPr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“</w:t>
      </w:r>
      <w:r>
        <w:rPr>
          <w:rFonts w:cs="Arial" w:ascii="Arial" w:hAnsi="Arial"/>
          <w:b w:val="false"/>
          <w:bCs w:val="false"/>
          <w:u w:val="none"/>
        </w:rPr>
        <w:t>Art. 37. No caso de impedimento de ordem técnica serão adotadas as seguintes medidas: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I - até cento e vinte dias após a publicação da lei orçamentária, o Poder Executivo, comunicará ao Poder Legislativo as justificativas de impedimento à execução das emendas individuais e/ou de bancadas;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II -  em até trinta dias após o término do prazo previsto no inciso I ou após o encaminhamento da comunicação do impedimento de ordem técnica, o Poder Legislativo indicará ao Poder Executivo o remanejamento da programação cujo impedimento seja insuperável;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III – em até trinta dias após o término do prazo previsto no inciso II o Poder Executivo consolidará as indicações e, se necessário, iniciará processo legislativo dos créditos  adicionais para o atendimento;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§ 1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Após o término do prazo previsto no inciso II do</w:t>
      </w:r>
      <w:r>
        <w:rPr>
          <w:rFonts w:cs="Arial" w:ascii="Arial" w:hAnsi="Arial"/>
          <w:b w:val="false"/>
          <w:bCs w:val="false"/>
          <w:i/>
          <w:iCs/>
          <w:u w:val="none"/>
        </w:rPr>
        <w:t xml:space="preserve"> caput</w:t>
      </w:r>
      <w:r>
        <w:rPr>
          <w:rFonts w:cs="Arial" w:ascii="Arial" w:hAnsi="Arial"/>
          <w:b w:val="false"/>
          <w:bCs w:val="false"/>
          <w:u w:val="none"/>
        </w:rPr>
        <w:t>, as emendas com impedimento técnico não remanejadas pelo Poder Legislativo, não serão de execução obrigatória podendo servir de fonte para abertura de créditos adicionais no exercício.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§ 3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Inexistindo impedimento de ordem técnica ou tão logo o óbice seja superado, os órgãos e as unidades deverão adotar os meios e as medidas necessários à execução das programações, observados os limites da programação orçamentária e financeira vigente.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§ 4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As dotações orçamentárias relativas às emendas impositivas que permanecerem com impedimento técnico após 20 de novembro de 202</w:t>
      </w:r>
      <w:r>
        <w:rPr>
          <w:rFonts w:cs="Arial" w:ascii="Arial" w:hAnsi="Arial"/>
          <w:b w:val="false"/>
          <w:bCs w:val="false"/>
          <w:u w:val="none"/>
        </w:rPr>
        <w:t>5</w:t>
      </w:r>
      <w:r>
        <w:rPr>
          <w:rFonts w:cs="Arial" w:ascii="Arial" w:hAnsi="Arial"/>
          <w:b w:val="false"/>
          <w:bCs w:val="false"/>
          <w:u w:val="none"/>
        </w:rPr>
        <w:t xml:space="preserve"> poderão ser utilizadas pelo Poder Executivo como fonte de recursos para a abertura de créditos adicionais, na forma da Lei Federal n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4.320, </w:t>
      </w:r>
      <w:r>
        <w:rPr>
          <w:rFonts w:cs="Arial" w:ascii="Arial" w:hAnsi="Arial"/>
          <w:b w:val="false"/>
          <w:bCs w:val="false"/>
          <w:u w:val="none"/>
        </w:rPr>
        <w:t xml:space="preserve">de </w:t>
      </w:r>
      <w:r>
        <w:rPr>
          <w:rFonts w:cs="Arial" w:ascii="Arial" w:hAnsi="Arial"/>
          <w:b w:val="false"/>
          <w:bCs w:val="false"/>
          <w:u w:val="none"/>
        </w:rPr>
        <w:t>1964.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§ 5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As justificativas para a inexecução das programações orçamentárias das emendas individuais e de bancada comporão o relatório de avaliação das metas fiscais do último quadrimestre do exercício, a ser apresentado em audiência pública na forma do art. 25 desta Lei.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u w:val="none"/>
        </w:rPr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 xml:space="preserve">Art. 38. </w:t>
      </w:r>
      <w:r>
        <w:rPr>
          <w:rFonts w:cs="Arial" w:ascii="Arial" w:hAnsi="Arial"/>
          <w:b w:val="false"/>
          <w:bCs w:val="false"/>
          <w:u w:val="none"/>
        </w:rPr>
        <w:t>No</w:t>
      </w:r>
      <w:r>
        <w:rPr>
          <w:rFonts w:cs="Arial" w:ascii="Arial" w:hAnsi="Arial"/>
          <w:b w:val="false"/>
          <w:bCs w:val="false"/>
          <w:u w:val="none"/>
        </w:rPr>
        <w:t xml:space="preserve"> caso de emendas que tenham como beneficiárias </w:t>
      </w:r>
      <w:r>
        <w:rPr>
          <w:rFonts w:cs="Arial" w:ascii="Arial" w:hAnsi="Arial"/>
          <w:b w:val="false"/>
          <w:bCs w:val="false"/>
          <w:u w:val="none"/>
        </w:rPr>
        <w:t>organizações da sociedade civil</w:t>
      </w:r>
      <w:r>
        <w:rPr>
          <w:rFonts w:cs="Arial" w:ascii="Arial" w:hAnsi="Arial"/>
          <w:b w:val="false"/>
          <w:bCs w:val="false"/>
          <w:u w:val="none"/>
        </w:rPr>
        <w:t>, o Poder Executivo as notificará para que apresentem o plano de trabalho em até trinta dias contados da promulgação da lei orçamentária anual.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§ 1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O Poder Executivo deve estabelecer prazo para que as entidades mencionadas neste artigo complementem a documentação ou procedam ajustes nos planos de trabalho.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§ 2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Oportunizados a complementação e ajustes de que trata o § 1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deste artigo, o não atendimento aos requisitos das legislações, ou aos prazos, impedirá a formalização do termo ou convênio.”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 w:cs="Arial"/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>
          <w:rFonts w:cs="Arial" w:ascii="Arial" w:hAnsi="Arial"/>
          <w:b w:val="false"/>
          <w:bCs w:val="false"/>
          <w:u w:val="single"/>
        </w:rPr>
        <w:t>Emenda Supressiva</w:t>
      </w:r>
      <w:r>
        <w:rPr>
          <w:rFonts w:cs="Arial" w:ascii="Arial" w:hAnsi="Arial"/>
          <w:b w:val="false"/>
          <w:bCs w:val="false"/>
          <w:u w:val="none"/>
        </w:rPr>
        <w:t>: suprime os §§  3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>, 4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e 5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e 6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do art. 36 do projeto de lei n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62 de 2024.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u w:val="none"/>
        </w:rPr>
      </w:r>
    </w:p>
    <w:p>
      <w:pPr>
        <w:pStyle w:val="Normal"/>
        <w:ind w:left="85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Justificativa: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Pretende-se, com esta emenda aditiva, incluir no texto do projeto de lei da LDO para 202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 xml:space="preserve"> os </w:t>
      </w:r>
      <w:r>
        <w:rPr>
          <w:rFonts w:cs="Arial" w:ascii="Arial" w:hAnsi="Arial"/>
          <w:u w:val="single"/>
        </w:rPr>
        <w:t>prazos</w:t>
      </w:r>
      <w:r>
        <w:rPr>
          <w:rFonts w:cs="Arial" w:ascii="Arial" w:hAnsi="Arial"/>
        </w:rPr>
        <w:t xml:space="preserve"> relativos aos impedimentos de ordem técnica, que possam ser apresentados às emendas impositivas dos vereadores e das bancadas, conforme determina o § 14 do art. 166 da Constituição Federal, sendo que os </w:t>
      </w:r>
      <w:r>
        <w:rPr>
          <w:rFonts w:cs="Arial" w:ascii="Arial" w:hAnsi="Arial"/>
          <w:u w:val="single"/>
        </w:rPr>
        <w:t>casos</w:t>
      </w:r>
      <w:r>
        <w:rPr>
          <w:rFonts w:cs="Arial" w:ascii="Arial" w:hAnsi="Arial"/>
        </w:rPr>
        <w:t xml:space="preserve"> de impedimentos de ordem técnica já constam do PL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62</w:t>
      </w:r>
      <w:r>
        <w:rPr>
          <w:rFonts w:cs="Arial" w:ascii="Arial" w:hAnsi="Arial"/>
        </w:rPr>
        <w:t xml:space="preserve"> de 202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>, no seu art. 36.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No</w:t>
      </w:r>
      <w:r>
        <w:rPr>
          <w:rFonts w:cs="Arial" w:ascii="Arial" w:hAnsi="Arial"/>
        </w:rPr>
        <w:t xml:space="preserve"> § 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do art. 36 d</w:t>
      </w:r>
      <w:r>
        <w:rPr>
          <w:rFonts w:cs="Arial" w:ascii="Arial" w:hAnsi="Arial"/>
        </w:rPr>
        <w:t>a atual redação do</w:t>
      </w:r>
      <w:r>
        <w:rPr>
          <w:rFonts w:cs="Arial" w:ascii="Arial" w:hAnsi="Arial"/>
        </w:rPr>
        <w:t xml:space="preserve"> PL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62</w:t>
      </w:r>
      <w:r>
        <w:rPr>
          <w:rFonts w:cs="Arial" w:ascii="Arial" w:hAnsi="Arial"/>
        </w:rPr>
        <w:t xml:space="preserve"> de 202</w:t>
      </w:r>
      <w:r>
        <w:rPr>
          <w:rFonts w:cs="Arial" w:ascii="Arial" w:hAnsi="Arial"/>
        </w:rPr>
        <w:t xml:space="preserve">4, </w:t>
      </w:r>
      <w:r>
        <w:rPr>
          <w:rFonts w:cs="Arial" w:ascii="Arial" w:hAnsi="Arial"/>
        </w:rPr>
        <w:t>consta que tais prazos farão parte de Decreto, a ser editado pelo Executivo Municipal no prazo de até trinta dias da publicação da Lei Orçamentária, o que é contrário ao disposto na Constituição Federal.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Com a emenda supressiva, pretende-se suprimir os §§ 4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5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e 6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do art. 36 do PL 62 de 2024, haja vista que passarão a constar na redação do art. 37, a ser incluído no PL por meio da emenda aditiva, conforme descrito acima.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Importante salientar que o art. 37 do PL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62</w:t>
      </w:r>
      <w:r>
        <w:rPr>
          <w:rFonts w:cs="Arial" w:ascii="Arial" w:hAnsi="Arial"/>
        </w:rPr>
        <w:t xml:space="preserve"> de 202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 xml:space="preserve"> não foi alterado, sendo apenas renumerado para art. 39, assim como os demais artigos subsequentes, e que ficam suprimidos os </w:t>
      </w:r>
      <w:r>
        <w:rPr>
          <w:rFonts w:cs="Arial" w:ascii="Arial" w:hAnsi="Arial"/>
          <w:u w:val="none"/>
        </w:rPr>
        <w:t>§§ 2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>, 3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>, 4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 xml:space="preserve"> e 5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 xml:space="preserve"> do art. 36.</w:t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 xml:space="preserve">Câmara Municipal de Três Passos, em </w:t>
      </w:r>
      <w:r>
        <w:rPr>
          <w:rFonts w:cs="Arial" w:ascii="Arial" w:hAnsi="Arial"/>
        </w:rPr>
        <w:t>22 de agosto de 2024.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Paulo Sattler</w:t>
        <w:tab/>
        <w:tab/>
        <w:t>Gilmar Maier</w:t>
        <w:tab/>
        <w:tab/>
        <w:t>Daiana Bald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950" w:right="1134" w:gutter="0" w:header="1134" w:top="3147" w:footer="719" w:bottom="1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2397125</wp:posOffset>
          </wp:positionH>
          <wp:positionV relativeFrom="paragraph">
            <wp:posOffset>-105410</wp:posOffset>
          </wp:positionV>
          <wp:extent cx="794385" cy="1137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5" t="-146" r="-175" b="-146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es-GQ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" w:cs=""/>
      <w:color w:val="2E74B5"/>
      <w:sz w:val="26"/>
      <w:szCs w:val="26"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es-GQ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609</TotalTime>
  <Application>LibreOffice/7.4.2.3$Windows_X86_64 LibreOffice_project/382eef1f22670f7f4118c8c2dd222ec7ad009daf</Application>
  <AppVersion>15.0000</AppVersion>
  <Pages>2</Pages>
  <Words>754</Words>
  <Characters>3757</Characters>
  <CharactersWithSpaces>4495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2023-05-03T16:40:00Z</dcterms:created>
  <dc:creator>CAMARA MUNICIPAL DE VEREADORES DE TRES PASSOS</dc:creator>
  <dc:description/>
  <dc:language>pt-BR</dc:language>
  <cp:lastModifiedBy/>
  <cp:lastPrinted>2023-08-25T15:37:40Z</cp:lastPrinted>
  <dcterms:modified xsi:type="dcterms:W3CDTF">2024-08-23T15:24:17Z</dcterms:modified>
  <cp:revision>51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