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
        <w:spacing w:lineRule="auto" w:line="360"/>
        <w:ind w:left="0" w:right="0" w:hanging="0"/>
        <w:jc w:val="both"/>
        <w:rPr>
          <w:rFonts w:ascii="Arial" w:hAnsi="Arial"/>
          <w:b w:val="false"/>
          <w:b w:val="false"/>
          <w:bCs w:val="false"/>
        </w:rPr>
      </w:pPr>
      <w:r>
        <w:rPr>
          <w:rFonts w:ascii="Arial" w:hAnsi="Arial"/>
          <w:b w:val="false"/>
          <w:bCs w:val="false"/>
        </w:rPr>
      </w:r>
    </w:p>
    <w:p>
      <w:pPr>
        <w:pStyle w:val="Ttulo1"/>
        <w:spacing w:lineRule="auto" w:line="360"/>
        <w:ind w:left="0" w:right="0" w:hanging="0"/>
        <w:jc w:val="both"/>
        <w:rPr/>
      </w:pPr>
      <w:r>
        <w:rPr>
          <w:rFonts w:ascii="Arial" w:hAnsi="Arial"/>
          <w:b w:val="false"/>
          <w:bCs w:val="false"/>
        </w:rPr>
        <w:t>Ofício n</w:t>
      </w:r>
      <w:r>
        <w:rPr>
          <w:rFonts w:ascii="Arial" w:hAnsi="Arial"/>
          <w:b w:val="false"/>
          <w:bCs w:val="false"/>
          <w:strike/>
        </w:rPr>
        <w:t>º</w:t>
      </w:r>
      <w:r>
        <w:rPr>
          <w:rFonts w:ascii="Arial" w:hAnsi="Arial"/>
          <w:b w:val="false"/>
          <w:bCs w:val="false"/>
        </w:rPr>
        <w:t xml:space="preserve"> </w:t>
      </w:r>
      <w:r>
        <w:rPr>
          <w:rFonts w:eastAsia="Times New Roman" w:cs="Times New Roman" w:ascii="Arial" w:hAnsi="Arial"/>
          <w:b w:val="false"/>
          <w:bCs w:val="false"/>
          <w:color w:val="00000A"/>
          <w:kern w:val="0"/>
          <w:sz w:val="24"/>
          <w:szCs w:val="24"/>
          <w:lang w:val="pt-BR" w:eastAsia="pt-BR" w:bidi="ar-SA"/>
        </w:rPr>
        <w:t>224</w:t>
      </w:r>
      <w:r>
        <w:rPr>
          <w:rFonts w:ascii="Arial" w:hAnsi="Arial"/>
          <w:b w:val="false"/>
          <w:bCs w:val="false"/>
        </w:rPr>
        <w:t>/2</w:t>
      </w:r>
      <w:r>
        <w:rPr>
          <w:rFonts w:ascii="Arial" w:hAnsi="Arial"/>
          <w:b w:val="false"/>
          <w:bCs w:val="false"/>
        </w:rPr>
        <w:t>4</w:t>
      </w:r>
      <w:r>
        <w:rPr>
          <w:rFonts w:ascii="Arial" w:hAnsi="Arial"/>
          <w:b w:val="false"/>
          <w:bCs w:val="false"/>
        </w:rPr>
        <w:tab/>
        <w:tab/>
        <w:tab/>
        <w:tab/>
        <w:t xml:space="preserve">                 Três Passos, </w:t>
      </w:r>
      <w:r>
        <w:rPr>
          <w:rFonts w:eastAsia="Times New Roman" w:cs="Times New Roman" w:ascii="Arial" w:hAnsi="Arial"/>
          <w:b w:val="false"/>
          <w:bCs w:val="false"/>
          <w:color w:val="00000A"/>
          <w:kern w:val="0"/>
          <w:sz w:val="24"/>
          <w:szCs w:val="24"/>
          <w:lang w:val="pt-BR" w:eastAsia="pt-BR" w:bidi="ar-SA"/>
        </w:rPr>
        <w:t>15 de outubro de 2024.</w:t>
      </w:r>
    </w:p>
    <w:p>
      <w:pPr>
        <w:pStyle w:val="Normal"/>
        <w:spacing w:lineRule="auto" w:line="360"/>
        <w:ind w:left="0" w:right="0" w:hanging="0"/>
        <w:jc w:val="both"/>
        <w:rPr/>
      </w:pPr>
      <w:r>
        <w:rPr/>
      </w:r>
    </w:p>
    <w:p>
      <w:pPr>
        <w:pStyle w:val="Normal"/>
        <w:spacing w:lineRule="auto" w:line="360"/>
        <w:ind w:left="0" w:right="0" w:hanging="0"/>
        <w:jc w:val="both"/>
        <w:rPr/>
      </w:pPr>
      <w:r>
        <w:rPr>
          <w:rFonts w:ascii="Arial" w:hAnsi="Arial"/>
        </w:rPr>
        <w:tab/>
        <w:tab/>
        <w:t>Senhor Prefeito Municipal:</w:t>
      </w:r>
    </w:p>
    <w:p>
      <w:pPr>
        <w:pStyle w:val="Normal"/>
        <w:spacing w:lineRule="auto" w:line="360"/>
        <w:ind w:left="0" w:right="0" w:hanging="0"/>
        <w:jc w:val="both"/>
        <w:rPr/>
      </w:pPr>
      <w:r>
        <w:rPr/>
      </w:r>
    </w:p>
    <w:p>
      <w:pPr>
        <w:pStyle w:val="Normal"/>
        <w:spacing w:lineRule="auto" w:line="360"/>
        <w:ind w:left="0" w:right="0" w:hanging="0"/>
        <w:jc w:val="both"/>
        <w:rPr/>
      </w:pPr>
      <w:r>
        <w:rPr>
          <w:rFonts w:ascii="Arial" w:hAnsi="Arial"/>
        </w:rPr>
        <w:tab/>
        <w:tab/>
      </w:r>
      <w:r>
        <w:rPr>
          <w:rFonts w:eastAsia="Times New Roman" w:cs="Times New Roman" w:ascii="Arial" w:hAnsi="Arial"/>
          <w:color w:val="00000A"/>
          <w:kern w:val="0"/>
          <w:sz w:val="24"/>
          <w:szCs w:val="24"/>
          <w:lang w:val="pt-BR" w:eastAsia="pt-BR" w:bidi="ar-SA"/>
        </w:rPr>
        <w:t>Com base no</w:t>
      </w:r>
      <w:r>
        <w:rPr>
          <w:rFonts w:ascii="Arial" w:hAnsi="Arial"/>
        </w:rPr>
        <w:t xml:space="preserve"> art. 72 da Lei Orgânica do Município, informo a Vossa Excelência que o </w:t>
      </w:r>
      <w:r>
        <w:rPr>
          <w:rFonts w:ascii="Arial" w:hAnsi="Arial"/>
          <w:u w:val="none"/>
        </w:rPr>
        <w:t>Veto n</w:t>
      </w:r>
      <w:r>
        <w:rPr>
          <w:rFonts w:ascii="Arial" w:hAnsi="Arial"/>
          <w:strike/>
          <w:u w:val="none"/>
        </w:rPr>
        <w:t>º</w:t>
      </w:r>
      <w:r>
        <w:rPr>
          <w:rFonts w:ascii="Arial" w:hAnsi="Arial"/>
          <w:u w:val="none"/>
        </w:rPr>
        <w:t xml:space="preserve"> </w:t>
      </w:r>
      <w:r>
        <w:rPr>
          <w:rFonts w:ascii="Arial" w:hAnsi="Arial"/>
          <w:u w:val="none"/>
        </w:rPr>
        <w:t>1</w:t>
      </w:r>
      <w:r>
        <w:rPr>
          <w:rFonts w:ascii="Arial" w:hAnsi="Arial"/>
          <w:u w:val="none"/>
        </w:rPr>
        <w:t>, de 202</w:t>
      </w:r>
      <w:r>
        <w:rPr>
          <w:rFonts w:ascii="Arial" w:hAnsi="Arial"/>
          <w:u w:val="none"/>
        </w:rPr>
        <w:t>4</w:t>
      </w:r>
      <w:r>
        <w:rPr>
          <w:rFonts w:ascii="Arial" w:hAnsi="Arial"/>
          <w:u w:val="none"/>
        </w:rPr>
        <w:t>,</w:t>
      </w:r>
      <w:r>
        <w:rPr>
          <w:rFonts w:ascii="Arial" w:hAnsi="Arial"/>
        </w:rPr>
        <w:t xml:space="preserve"> ao projeto de lei n</w:t>
      </w:r>
      <w:r>
        <w:rPr>
          <w:rFonts w:ascii="Arial" w:hAnsi="Arial"/>
          <w:strike/>
        </w:rPr>
        <w:t>º</w:t>
      </w:r>
      <w:r>
        <w:rPr>
          <w:rFonts w:ascii="Arial" w:hAnsi="Arial"/>
        </w:rPr>
        <w:t xml:space="preserve"> </w:t>
      </w:r>
      <w:r>
        <w:rPr>
          <w:rFonts w:ascii="Arial" w:hAnsi="Arial"/>
        </w:rPr>
        <w:t>62,</w:t>
      </w:r>
      <w:r>
        <w:rPr>
          <w:rFonts w:ascii="Arial" w:hAnsi="Arial"/>
        </w:rPr>
        <w:t xml:space="preserve"> de 202</w:t>
      </w:r>
      <w:r>
        <w:rPr>
          <w:rFonts w:ascii="Arial" w:hAnsi="Arial"/>
        </w:rPr>
        <w:t>4</w:t>
      </w:r>
      <w:r>
        <w:rPr>
          <w:rFonts w:ascii="Arial" w:hAnsi="Arial"/>
        </w:rPr>
        <w:t xml:space="preserve">, que dispõe sobre </w:t>
      </w:r>
      <w:r>
        <w:rPr>
          <w:rFonts w:ascii="Arial" w:hAnsi="Arial"/>
        </w:rPr>
        <w:t xml:space="preserve">as diretrizes orçamentárias para o execício financeiro de 2025, </w:t>
      </w:r>
      <w:r>
        <w:rPr>
          <w:rFonts w:ascii="Arial" w:hAnsi="Arial"/>
        </w:rPr>
        <w:t xml:space="preserve">foi rejeitado por </w:t>
      </w:r>
      <w:r>
        <w:rPr>
          <w:rFonts w:ascii="Arial" w:hAnsi="Arial"/>
        </w:rPr>
        <w:t>unanimidade na se</w:t>
      </w:r>
      <w:r>
        <w:rPr>
          <w:rFonts w:ascii="Arial" w:hAnsi="Arial"/>
        </w:rPr>
        <w:t xml:space="preserve">ssão plenária ordinária realizada em </w:t>
      </w:r>
      <w:r>
        <w:rPr>
          <w:rFonts w:ascii="Arial" w:hAnsi="Arial"/>
        </w:rPr>
        <w:t>14/10/2024.</w:t>
      </w:r>
    </w:p>
    <w:p>
      <w:pPr>
        <w:pStyle w:val="Normal"/>
        <w:spacing w:lineRule="auto" w:line="360"/>
        <w:ind w:left="0" w:right="0" w:hanging="0"/>
        <w:jc w:val="both"/>
        <w:rPr/>
      </w:pPr>
      <w:r>
        <w:rPr>
          <w:rFonts w:ascii="Arial" w:hAnsi="Arial"/>
        </w:rPr>
        <w:tab/>
        <w:tab/>
        <w:t>Para tanto, segue anexa a redação final do referido projeto.</w:t>
      </w:r>
    </w:p>
    <w:p>
      <w:pPr>
        <w:pStyle w:val="Normal"/>
        <w:spacing w:lineRule="auto" w:line="360"/>
        <w:ind w:left="0" w:right="0" w:hanging="0"/>
        <w:jc w:val="both"/>
        <w:rPr/>
      </w:pPr>
      <w:r>
        <w:rPr>
          <w:rFonts w:eastAsia="Times New Roman" w:cs="Times New Roman" w:ascii="Arial" w:hAnsi="Arial"/>
          <w:color w:val="00000A"/>
          <w:kern w:val="0"/>
          <w:sz w:val="24"/>
          <w:szCs w:val="24"/>
          <w:lang w:val="pt-BR" w:eastAsia="pt-BR" w:bidi="ar-SA"/>
        </w:rPr>
        <w:tab/>
        <w:tab/>
        <w:tab/>
        <w:tab/>
      </w:r>
    </w:p>
    <w:p>
      <w:pPr>
        <w:pStyle w:val="Normal"/>
        <w:widowControl/>
        <w:suppressAutoHyphens w:val="true"/>
        <w:bidi w:val="0"/>
        <w:spacing w:lineRule="auto" w:line="360"/>
        <w:ind w:left="0" w:right="0" w:firstLine="3969"/>
        <w:jc w:val="both"/>
        <w:rPr/>
      </w:pPr>
      <w:r>
        <w:rPr>
          <w:rFonts w:ascii="Arial" w:hAnsi="Arial"/>
        </w:rPr>
        <w:drawing>
          <wp:anchor behindDoc="0" distT="0" distB="0" distL="0" distR="0" simplePos="0" locked="0" layoutInCell="0" allowOverlap="1" relativeHeight="28">
            <wp:simplePos x="0" y="0"/>
            <wp:positionH relativeFrom="column">
              <wp:posOffset>2516505</wp:posOffset>
            </wp:positionH>
            <wp:positionV relativeFrom="paragraph">
              <wp:posOffset>355600</wp:posOffset>
            </wp:positionV>
            <wp:extent cx="2136775" cy="9906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2136775" cy="990600"/>
                    </a:xfrm>
                    <a:prstGeom prst="rect">
                      <a:avLst/>
                    </a:prstGeom>
                  </pic:spPr>
                </pic:pic>
              </a:graphicData>
            </a:graphic>
          </wp:anchor>
        </w:drawing>
      </w:r>
      <w:r>
        <w:rPr>
          <w:rFonts w:ascii="Arial" w:hAnsi="Arial"/>
        </w:rPr>
        <w:t xml:space="preserve">Atenciosas saudações.                                                                                                                  </w:t>
      </w:r>
    </w:p>
    <w:p>
      <w:pPr>
        <w:pStyle w:val="Normal"/>
        <w:widowControl/>
        <w:suppressAutoHyphens w:val="true"/>
        <w:bidi w:val="0"/>
        <w:spacing w:lineRule="auto" w:line="360"/>
        <w:ind w:left="3969" w:right="0" w:hanging="0"/>
        <w:jc w:val="both"/>
        <w:rPr/>
      </w:pPr>
      <w:r>
        <w:rPr>
          <w:rFonts w:eastAsia="Times New Roman" w:cs="Times New Roman" w:ascii="Arial" w:hAnsi="Arial"/>
          <w:color w:val="00000A"/>
          <w:kern w:val="0"/>
          <w:sz w:val="24"/>
          <w:szCs w:val="24"/>
          <w:lang w:val="pt-BR" w:eastAsia="pt-BR" w:bidi="ar-SA"/>
        </w:rPr>
        <w:t>Flavio Habitzreiter,</w:t>
      </w:r>
    </w:p>
    <w:p>
      <w:pPr>
        <w:pStyle w:val="Normal"/>
        <w:widowControl/>
        <w:suppressAutoHyphens w:val="true"/>
        <w:bidi w:val="0"/>
        <w:spacing w:lineRule="auto" w:line="360"/>
        <w:ind w:left="3969" w:right="0" w:hanging="0"/>
        <w:jc w:val="both"/>
        <w:rPr/>
      </w:pPr>
      <w:r>
        <w:rPr>
          <w:rFonts w:ascii="Arial" w:hAnsi="Arial"/>
        </w:rPr>
        <w:t>Presidente.</w:t>
      </w:r>
    </w:p>
    <w:p>
      <w:pPr>
        <w:pStyle w:val="Normal"/>
        <w:spacing w:lineRule="auto" w:line="360"/>
        <w:ind w:left="0" w:right="0" w:hanging="0"/>
        <w:jc w:val="both"/>
        <w:rPr/>
      </w:pPr>
      <w:r>
        <w:rPr/>
      </w:r>
    </w:p>
    <w:p>
      <w:pPr>
        <w:pStyle w:val="Normal"/>
        <w:spacing w:lineRule="auto" w:line="360"/>
        <w:ind w:left="0" w:right="0" w:hanging="0"/>
        <w:jc w:val="both"/>
        <w:rPr>
          <w:rFonts w:ascii="Arial" w:hAnsi="Arial"/>
        </w:rPr>
      </w:pPr>
      <w:r>
        <w:rPr>
          <w:rFonts w:ascii="Arial" w:hAnsi="Arial"/>
        </w:rPr>
      </w:r>
    </w:p>
    <w:p>
      <w:pPr>
        <w:pStyle w:val="Normal"/>
        <w:spacing w:lineRule="auto" w:line="360"/>
        <w:ind w:left="0" w:right="0" w:hanging="0"/>
        <w:jc w:val="both"/>
        <w:rPr>
          <w:rFonts w:ascii="Arial" w:hAnsi="Arial"/>
        </w:rPr>
      </w:pPr>
      <w:r>
        <w:rPr>
          <w:rFonts w:ascii="Arial" w:hAnsi="Arial"/>
        </w:rPr>
      </w:r>
    </w:p>
    <w:p>
      <w:pPr>
        <w:pStyle w:val="Normal"/>
        <w:spacing w:lineRule="auto" w:line="360"/>
        <w:ind w:left="0" w:right="0" w:hanging="0"/>
        <w:jc w:val="both"/>
        <w:rPr>
          <w:rFonts w:ascii="Arial" w:hAnsi="Arial"/>
        </w:rPr>
      </w:pPr>
      <w:r>
        <w:rPr>
          <w:rFonts w:ascii="Arial" w:hAnsi="Arial"/>
        </w:rPr>
      </w:r>
    </w:p>
    <w:p>
      <w:pPr>
        <w:pStyle w:val="Normal"/>
        <w:spacing w:lineRule="auto" w:line="360"/>
        <w:ind w:left="0" w:right="0" w:hanging="0"/>
        <w:jc w:val="both"/>
        <w:rPr>
          <w:rFonts w:ascii="Arial" w:hAnsi="Arial"/>
        </w:rPr>
      </w:pPr>
      <w:r>
        <w:rPr>
          <w:rFonts w:ascii="Arial" w:hAnsi="Arial"/>
        </w:rPr>
      </w:r>
    </w:p>
    <w:p>
      <w:pPr>
        <w:pStyle w:val="Normal"/>
        <w:spacing w:lineRule="auto" w:line="360"/>
        <w:ind w:left="0" w:right="0" w:hanging="0"/>
        <w:jc w:val="both"/>
        <w:rPr>
          <w:rFonts w:ascii="Arial" w:hAnsi="Arial"/>
        </w:rPr>
      </w:pPr>
      <w:r>
        <w:rPr>
          <w:rFonts w:ascii="Arial" w:hAnsi="Arial"/>
        </w:rPr>
      </w:r>
    </w:p>
    <w:p>
      <w:pPr>
        <w:pStyle w:val="Normal"/>
        <w:spacing w:lineRule="auto" w:line="360"/>
        <w:ind w:left="0" w:right="0" w:hanging="0"/>
        <w:jc w:val="both"/>
        <w:rPr>
          <w:rFonts w:ascii="Arial" w:hAnsi="Arial"/>
        </w:rPr>
      </w:pPr>
      <w:r>
        <w:rPr>
          <w:rFonts w:ascii="Arial" w:hAnsi="Arial"/>
        </w:rPr>
      </w:r>
    </w:p>
    <w:p>
      <w:pPr>
        <w:pStyle w:val="Normal"/>
        <w:spacing w:lineRule="auto" w:line="360"/>
        <w:ind w:left="0" w:right="0" w:hanging="0"/>
        <w:jc w:val="both"/>
        <w:rPr/>
      </w:pPr>
      <w:r>
        <w:rPr>
          <w:rFonts w:ascii="Arial" w:hAnsi="Arial"/>
        </w:rPr>
        <w:t>A Sua Excelência o Senhor</w:t>
      </w:r>
    </w:p>
    <w:p>
      <w:pPr>
        <w:pStyle w:val="Normal"/>
        <w:spacing w:lineRule="auto" w:line="360"/>
        <w:ind w:left="0" w:right="0" w:hanging="0"/>
        <w:jc w:val="both"/>
        <w:rPr/>
      </w:pPr>
      <w:r>
        <w:rPr>
          <w:rFonts w:ascii="Arial" w:hAnsi="Arial"/>
        </w:rPr>
        <w:t>Arlei Luis Tomazoni,</w:t>
      </w:r>
    </w:p>
    <w:p>
      <w:pPr>
        <w:pStyle w:val="Normal"/>
        <w:spacing w:lineRule="auto" w:line="360"/>
        <w:ind w:left="0" w:right="0" w:hanging="0"/>
        <w:jc w:val="both"/>
        <w:rPr/>
      </w:pPr>
      <w:r>
        <w:rPr>
          <w:rFonts w:ascii="Arial" w:hAnsi="Arial"/>
        </w:rPr>
        <w:t>Prefeito Municipal,</w:t>
      </w:r>
    </w:p>
    <w:p>
      <w:pPr>
        <w:pStyle w:val="Normal"/>
        <w:spacing w:lineRule="auto" w:line="360"/>
        <w:ind w:left="0" w:right="0" w:hanging="0"/>
        <w:jc w:val="both"/>
        <w:rPr/>
      </w:pPr>
      <w:r>
        <w:rPr>
          <w:rFonts w:ascii="Arial" w:hAnsi="Arial"/>
          <w:u w:val="single"/>
        </w:rPr>
        <w:t>Três Passos-RS.-</w:t>
      </w:r>
    </w:p>
    <w:p>
      <w:pPr>
        <w:pStyle w:val="Normal"/>
        <w:spacing w:lineRule="auto" w:line="360"/>
        <w:ind w:left="0" w:right="0" w:hanging="0"/>
        <w:jc w:val="both"/>
        <w:rPr>
          <w:rFonts w:ascii="Arial" w:hAnsi="Arial"/>
        </w:rPr>
      </w:pPr>
      <w:r>
        <w:rPr>
          <w:rFonts w:ascii="Arial" w:hAnsi="Arial"/>
        </w:rPr>
      </w:r>
    </w:p>
    <w:p>
      <w:pPr>
        <w:pStyle w:val="Normal"/>
        <w:jc w:val="center"/>
        <w:rPr/>
      </w:pPr>
      <w:r>
        <w:rPr>
          <w:b/>
          <w:bCs/>
        </w:rPr>
        <w:t>PROJETO DE LEI ORDINÁRIA N</w:t>
      </w:r>
      <w:r>
        <w:rPr>
          <w:bCs/>
          <w:strike/>
        </w:rPr>
        <w:t>º</w:t>
      </w:r>
      <w:r>
        <w:rPr>
          <w:b/>
          <w:bCs/>
        </w:rPr>
        <w:t xml:space="preserve"> 62, DE 31 DE JULHO DE 2024</w:t>
      </w:r>
    </w:p>
    <w:p>
      <w:pPr>
        <w:pStyle w:val="Normal"/>
        <w:jc w:val="both"/>
        <w:rPr>
          <w:rFonts w:cs="Arial"/>
        </w:rPr>
      </w:pPr>
      <w:r>
        <w:rPr>
          <w:rFonts w:cs="Arial"/>
        </w:rPr>
      </w:r>
    </w:p>
    <w:p>
      <w:pPr>
        <w:pStyle w:val="Normal"/>
        <w:ind w:left="4535" w:right="0" w:hanging="0"/>
        <w:jc w:val="both"/>
        <w:rPr/>
      </w:pPr>
      <w:r>
        <w:rPr/>
        <w:t>Dispõe sobre as diretrizes orçamentárias para o exercício financeiro de 2025.</w:t>
      </w:r>
    </w:p>
    <w:p>
      <w:pPr>
        <w:pStyle w:val="Normal"/>
        <w:ind w:left="4535" w:right="0" w:hanging="0"/>
        <w:jc w:val="both"/>
        <w:rPr/>
      </w:pPr>
      <w:r>
        <w:rPr/>
      </w:r>
    </w:p>
    <w:p>
      <w:pPr>
        <w:pStyle w:val="Normal"/>
        <w:ind w:left="0" w:right="0" w:firstLine="709"/>
        <w:jc w:val="both"/>
        <w:rPr/>
      </w:pPr>
      <w:r>
        <w:rPr>
          <w:rFonts w:eastAsia="NSimSun" w:cs="Times New Roman"/>
          <w:color w:val="000000"/>
          <w:kern w:val="2"/>
          <w:sz w:val="24"/>
          <w:szCs w:val="24"/>
          <w:shd w:fill="FFFFFF" w:val="clear"/>
          <w:lang w:bidi="hi-IN"/>
        </w:rPr>
        <w:t>Art.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Ficam estabelecidas, em cumprimento ao disposto no art. 165,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Constituição Federal, no art. 120,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Orgânica do Município, e na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 de 4 de maio de 2000, as diretrizes gerais para elaboração do orçamento do Município, relativas ao exercício de 2025, compreendendo:</w:t>
      </w:r>
    </w:p>
    <w:p>
      <w:pPr>
        <w:pStyle w:val="Normal"/>
        <w:ind w:left="0" w:right="0" w:firstLine="709"/>
        <w:jc w:val="both"/>
        <w:rPr/>
      </w:pPr>
      <w:r>
        <w:rPr>
          <w:rFonts w:eastAsia="NSimSun" w:cs="Times New Roman"/>
          <w:color w:val="000000"/>
          <w:kern w:val="2"/>
          <w:sz w:val="24"/>
          <w:szCs w:val="24"/>
          <w:shd w:fill="FFFFFF" w:val="clear"/>
          <w:lang w:bidi="hi-IN"/>
        </w:rPr>
        <w:t>I - as metas e as prioridades da administração municipal;</w:t>
      </w:r>
    </w:p>
    <w:p>
      <w:pPr>
        <w:pStyle w:val="Normal"/>
        <w:ind w:left="0" w:right="0" w:firstLine="709"/>
        <w:jc w:val="both"/>
        <w:rPr/>
      </w:pPr>
      <w:r>
        <w:rPr>
          <w:rFonts w:eastAsia="NSimSun" w:cs="Times New Roman"/>
          <w:color w:val="000000"/>
          <w:kern w:val="2"/>
          <w:sz w:val="24"/>
          <w:szCs w:val="24"/>
          <w:shd w:fill="FFFFFF" w:val="clear"/>
          <w:lang w:bidi="hi-IN"/>
        </w:rPr>
        <w:t>II - a organização e estrutura do orçamento;</w:t>
      </w:r>
    </w:p>
    <w:p>
      <w:pPr>
        <w:pStyle w:val="Normal"/>
        <w:ind w:left="0" w:right="0" w:firstLine="709"/>
        <w:jc w:val="both"/>
        <w:rPr/>
      </w:pPr>
      <w:r>
        <w:rPr>
          <w:rFonts w:eastAsia="NSimSun" w:cs="Times New Roman"/>
          <w:color w:val="000000"/>
          <w:kern w:val="2"/>
          <w:sz w:val="24"/>
          <w:szCs w:val="24"/>
          <w:shd w:fill="FFFFFF" w:val="clear"/>
          <w:lang w:bidi="hi-IN"/>
        </w:rPr>
        <w:t xml:space="preserve">III - as diretrizes para elaboração e execução do orçamento e suas alterações; </w:t>
      </w:r>
    </w:p>
    <w:p>
      <w:pPr>
        <w:pStyle w:val="Normal"/>
        <w:ind w:left="0" w:right="0" w:firstLine="709"/>
        <w:jc w:val="both"/>
        <w:rPr/>
      </w:pPr>
      <w:r>
        <w:rPr>
          <w:rFonts w:eastAsia="NSimSun" w:cs="Times New Roman"/>
          <w:color w:val="000000"/>
          <w:kern w:val="2"/>
          <w:sz w:val="24"/>
          <w:szCs w:val="24"/>
          <w:shd w:fill="FFFFFF" w:val="clear"/>
          <w:lang w:bidi="hi-IN"/>
        </w:rPr>
        <w:t>IV - as disposições relativas à dívida pública municipal;</w:t>
      </w:r>
    </w:p>
    <w:p>
      <w:pPr>
        <w:pStyle w:val="Normal"/>
        <w:ind w:left="0" w:right="0" w:firstLine="709"/>
        <w:jc w:val="both"/>
        <w:rPr/>
      </w:pPr>
      <w:r>
        <w:rPr>
          <w:rFonts w:eastAsia="NSimSun" w:cs="Times New Roman"/>
          <w:color w:val="000000"/>
          <w:kern w:val="2"/>
          <w:sz w:val="24"/>
          <w:szCs w:val="24"/>
          <w:shd w:fill="FFFFFF" w:val="clear"/>
          <w:lang w:bidi="hi-IN"/>
        </w:rPr>
        <w:t>V - as disposições relativas às despesas do Município com pessoal e encargos sociais;</w:t>
      </w:r>
    </w:p>
    <w:p>
      <w:pPr>
        <w:pStyle w:val="Normal"/>
        <w:ind w:left="0" w:right="0" w:firstLine="709"/>
        <w:jc w:val="both"/>
        <w:rPr/>
      </w:pPr>
      <w:r>
        <w:rPr>
          <w:rFonts w:eastAsia="NSimSun" w:cs="Times New Roman"/>
          <w:color w:val="000000"/>
          <w:kern w:val="2"/>
          <w:sz w:val="24"/>
          <w:szCs w:val="24"/>
          <w:shd w:fill="FFFFFF" w:val="clear"/>
          <w:lang w:bidi="hi-IN"/>
        </w:rPr>
        <w:t xml:space="preserve">VI - as disposições sobre alterações na legislação tributária;  </w:t>
      </w:r>
    </w:p>
    <w:p>
      <w:pPr>
        <w:pStyle w:val="Normal"/>
        <w:ind w:left="0" w:right="0" w:firstLine="709"/>
        <w:jc w:val="both"/>
        <w:rPr/>
      </w:pPr>
      <w:r>
        <w:rPr>
          <w:rFonts w:eastAsia="NSimSun" w:cs="Times New Roman"/>
          <w:color w:val="000000"/>
          <w:kern w:val="2"/>
          <w:sz w:val="24"/>
          <w:szCs w:val="24"/>
          <w:shd w:fill="FFFFFF" w:val="clear"/>
          <w:lang w:bidi="hi-IN"/>
        </w:rPr>
        <w:t>VII - as disposições gerais.</w:t>
      </w:r>
    </w:p>
    <w:p>
      <w:pPr>
        <w:pStyle w:val="Normal"/>
        <w:ind w:left="0" w:right="0" w:firstLine="709"/>
        <w:jc w:val="both"/>
        <w:rPr/>
      </w:pPr>
      <w:r>
        <w:rPr>
          <w:rFonts w:eastAsia="NSimSun" w:cs="Times New Roman"/>
          <w:color w:val="000000"/>
          <w:kern w:val="2"/>
          <w:sz w:val="24"/>
          <w:szCs w:val="24"/>
          <w:shd w:fill="FFFFFF" w:val="clear"/>
          <w:lang w:bidi="hi-IN"/>
        </w:rPr>
        <w:t>Parágrafo único. Integram esta lei os seguintes anexos:</w:t>
      </w:r>
    </w:p>
    <w:p>
      <w:pPr>
        <w:pStyle w:val="Normal"/>
        <w:ind w:left="0" w:right="0" w:firstLine="709"/>
        <w:jc w:val="both"/>
        <w:rPr/>
      </w:pPr>
      <w:r>
        <w:rPr>
          <w:rFonts w:eastAsia="NSimSun" w:cs="Times New Roman"/>
          <w:color w:val="000000"/>
          <w:kern w:val="2"/>
          <w:sz w:val="24"/>
          <w:szCs w:val="24"/>
          <w:shd w:fill="FFFFFF" w:val="clear"/>
          <w:lang w:bidi="hi-IN"/>
        </w:rPr>
        <w:t>I - Anexo I, de metas fiscais, composto dos demonstrativos:</w:t>
      </w:r>
    </w:p>
    <w:p>
      <w:pPr>
        <w:pStyle w:val="Normal"/>
        <w:ind w:left="0" w:right="0" w:firstLine="709"/>
        <w:jc w:val="both"/>
        <w:rPr/>
      </w:pPr>
      <w:r>
        <w:rPr>
          <w:rFonts w:eastAsia="NSimSun" w:cs="Times New Roman"/>
          <w:color w:val="000000"/>
          <w:kern w:val="2"/>
          <w:sz w:val="24"/>
          <w:szCs w:val="24"/>
          <w:shd w:fill="FFFFFF" w:val="clear"/>
          <w:lang w:bidi="hi-IN"/>
        </w:rPr>
        <w:t>a) das metas fiscais anuais de acordo com o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acompanhado da memória e metodologia de cálculo;</w:t>
      </w:r>
    </w:p>
    <w:p>
      <w:pPr>
        <w:pStyle w:val="Normal"/>
        <w:ind w:left="0" w:right="0" w:firstLine="709"/>
        <w:jc w:val="both"/>
        <w:rPr/>
      </w:pPr>
      <w:r>
        <w:rPr>
          <w:rFonts w:eastAsia="NSimSun" w:cs="Times New Roman"/>
          <w:color w:val="000000"/>
          <w:kern w:val="2"/>
          <w:sz w:val="24"/>
          <w:szCs w:val="24"/>
          <w:shd w:fill="FFFFFF" w:val="clear"/>
          <w:lang w:bidi="hi-IN"/>
        </w:rPr>
        <w:t>b) da avaliação do cumprimento das metas fiscais relativas ao ano de 2023;</w:t>
      </w:r>
    </w:p>
    <w:p>
      <w:pPr>
        <w:pStyle w:val="Normal"/>
        <w:ind w:left="0" w:right="0" w:firstLine="709"/>
        <w:jc w:val="both"/>
        <w:rPr/>
      </w:pPr>
      <w:r>
        <w:rPr>
          <w:rFonts w:eastAsia="NSimSun" w:cs="Times New Roman"/>
          <w:color w:val="000000"/>
          <w:kern w:val="2"/>
          <w:sz w:val="24"/>
          <w:szCs w:val="24"/>
          <w:shd w:fill="FFFFFF" w:val="clear"/>
          <w:lang w:bidi="hi-IN"/>
        </w:rPr>
        <w:t>c) das metas fiscais previstas para 2025, 2026 e 2027, comparadas com as fixadas nos exercícios de 2022, 2023 e 2024;</w:t>
      </w:r>
    </w:p>
    <w:p>
      <w:pPr>
        <w:pStyle w:val="Normal"/>
        <w:ind w:left="0" w:right="0" w:firstLine="709"/>
        <w:jc w:val="both"/>
        <w:rPr/>
      </w:pPr>
      <w:r>
        <w:rPr>
          <w:rFonts w:eastAsia="NSimSun" w:cs="Times New Roman"/>
          <w:color w:val="000000"/>
          <w:kern w:val="2"/>
          <w:sz w:val="24"/>
          <w:szCs w:val="24"/>
          <w:shd w:fill="FFFFFF" w:val="clear"/>
          <w:lang w:bidi="hi-IN"/>
        </w:rPr>
        <w:t>d) da evolução do patrimônio líquido, conforme o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III,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e) da origem e aplicação dos recursos obtidos com a alienação de ativos, em cumprimento ao disposto no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III,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f) da avaliação da situação financeira e atuarial do Regime Próprio de Previdência dos Servidores Públicos Municipais, de acordo com o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IV,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g) da estimativa e compensação da renúncia de receita, conforme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V,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h) da margem de expansão das Despesas Obrigatórias de Caráter Continuado (DOCC), conforme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V,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cujo resultado é meramente indicativo de alerta para a criação de novas DOCC, ou da existência de espaço fiscal para a criação de novas despesas.</w:t>
      </w:r>
    </w:p>
    <w:p>
      <w:pPr>
        <w:pStyle w:val="Normal"/>
        <w:ind w:left="0" w:right="0" w:firstLine="709"/>
        <w:jc w:val="both"/>
        <w:rPr/>
      </w:pPr>
      <w:r>
        <w:rPr>
          <w:rFonts w:eastAsia="NSimSun" w:cs="Times New Roman"/>
          <w:color w:val="000000"/>
          <w:kern w:val="2"/>
          <w:sz w:val="24"/>
          <w:szCs w:val="24"/>
          <w:shd w:fill="FFFFFF" w:val="clear"/>
          <w:lang w:bidi="hi-IN"/>
        </w:rPr>
        <w:t>II - Anexo II, de Riscos Fiscais e providências, contendo a avaliação dos riscos orçamentários e os passivos contingentes capazes de afetar as contas públicas, em cumprimento ao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III - Anexo III, de caráter informativo e não normativo, contemplando o detalhamento dos Programas e Ações previstos no Plano Plurianual, com execução prevista para próximo exercício, o qual deverá servir de referência para o planejamento, podendo ser atualizado pela lei orçamentária ou através de créditos adicionais.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IV - Anexo IV, informando as despesas para conservação do patrimônio público e para os projetos em andamento, em cumprimento ao disposto no art. 45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 de 2000.</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II - Das Metas e Prioridades da Administração Pública Municipal</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elaboração e aprovação do Projeto de Lei Orçamentária e a execução da respectiva Lei deverão ser compatíveis com a obtenção da meta de déficit primário consolidado, conforme demonstrado no Anexo de Metas Fiscais constante do Anexo a esta Lei.</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da demonstração da compatibilidade referida no caput, a meta de resultado primário poderá ser ajustada quando do encaminhamento do projeto de lei orçamentária anual, se verificadas alterações no comportamento das variáveis macroeconômicas utilizadas nas estimativas das receitas e despesas;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Na hipótese prevista pelo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o demonstrativo de que trata a alínea “a” do inciso I do parágrafo único do art.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 deverá ser reelaborado e encaminhado juntamente com o projeto de lei orçamentária anual, acompanhado da memória e metodologia de cálculo devidamente atualizadas.</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Sem prejuízo do disposto no art. 65, II,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em caso de não atingimento da meta de resultado primário estabelecida para 2025, admite-se, como limite de tolerância, o valor equivalente à frustração da arrecadação das receitas que são objeto das transferências previstas nos arts. 158, 159 e 212-A da Constituição Federal.</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os fins do disposto no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considera-se frustração de arrecadação, a diferença a menor que for observada ao final de cada quadrimestre entre os valores da arrecadação acumulada do exercício, em comparação com igual período do ano anterior.</w:t>
      </w:r>
    </w:p>
    <w:p>
      <w:pPr>
        <w:pStyle w:val="Normal"/>
        <w:ind w:left="0" w:right="0" w:firstLine="709"/>
        <w:jc w:val="both"/>
        <w:rPr/>
      </w:pPr>
      <w:r>
        <w:rPr>
          <w:rFonts w:eastAsia="NSimSun" w:cs="Times New Roman"/>
          <w:color w:val="000000"/>
          <w:kern w:val="2"/>
          <w:sz w:val="24"/>
          <w:szCs w:val="24"/>
          <w:shd w:fill="FFFFFF" w:val="clear"/>
          <w:lang w:bidi="hi-IN"/>
        </w:rPr>
        <w:t>§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efeitos da audiência pública prevista no art. 9</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a meta alcançada em cada quadrimestre será comparada com a meta prevista para o mesmo período ajustada, quando for o caso, ao limite de tolerância previsto no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deste artigo.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metas e prioridades para o exercício financeiro de 2025 relacionadas com a execução de programas e ações orçamentárias estão estruturadas de acordo com o Plano Plurianual para 2022/2025 - Lei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5.640, de 13 de julho de 2021 e suas alterações, estão especificadas no Anexo III desta Lei.</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Na hipótese prevista no parágrafo anterior, as alterações do Anexo III serão evidenciadas em demonstrativo específico, a ser encaminhado juntamente com a proposta orçamentária para o próximo exercício.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57"/>
        <w:jc w:val="center"/>
        <w:rPr/>
      </w:pPr>
      <w:r>
        <w:rPr>
          <w:rFonts w:eastAsia="NSimSun" w:cs="Times New Roman"/>
          <w:color w:val="000000"/>
          <w:kern w:val="2"/>
          <w:sz w:val="24"/>
          <w:szCs w:val="24"/>
          <w:shd w:fill="FFFFFF" w:val="clear"/>
          <w:lang w:bidi="hi-IN"/>
        </w:rPr>
        <w:t>Capítulo III - Da Organização e Estrutura do Orçamento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Na lei de orçamento, a despesa será discriminada por órgão, unidade orçamentária, função, subfunção, programa, ação orçamentária e natureza de despesa, detalhada até o nível de elemento.</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conceito de órgão corresponde ao maior nível da classificação institucional, que tem por finalidade agrupar unidades orçamentárias.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conceito de unidade orçamentária corresponde ao menor nível da classificação institucional e sua classificação atenderá, no que couber, ao disposto no art. 14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4.320/64.</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conceitos de função, subfunção, programa, projeto, atividade e operação especial são aqueles dispostos na Portaria SOF/SETO/ME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42/1999, e em suas alterações.</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conceitos e códigos de categoria econômica, grupo de natureza de despesa, modalidade de aplicação e elemento de despesa são aqueles dispostos na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e na Portaria Interministerial STN/SOF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163, de 4 de maio de 2001, e em suas alterações.</w:t>
      </w:r>
    </w:p>
    <w:p>
      <w:pPr>
        <w:pStyle w:val="Normal"/>
        <w:ind w:left="0" w:right="0" w:firstLine="709"/>
        <w:jc w:val="both"/>
        <w:rPr/>
      </w:pPr>
      <w:r>
        <w:rPr>
          <w:rFonts w:eastAsia="NSimSun" w:cs="Times New Roman"/>
          <w:color w:val="000000"/>
          <w:kern w:val="2"/>
          <w:sz w:val="24"/>
          <w:szCs w:val="24"/>
          <w:shd w:fill="FFFFFF" w:val="clear"/>
          <w:lang w:bidi="hi-IN"/>
        </w:rPr>
        <w:t>§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operações especiais relacionadas ao pagamento de encargos gerais do Município, serão consignadas em unidade orçamentária específica.</w:t>
      </w:r>
    </w:p>
    <w:p>
      <w:pPr>
        <w:pStyle w:val="Normal"/>
        <w:ind w:left="0" w:right="0" w:firstLine="709"/>
        <w:jc w:val="both"/>
        <w:rPr/>
      </w:pPr>
      <w:r>
        <w:rPr>
          <w:rFonts w:eastAsia="NSimSun" w:cs="Times New Roman"/>
          <w:color w:val="000000"/>
          <w:kern w:val="2"/>
          <w:sz w:val="24"/>
          <w:szCs w:val="24"/>
          <w:shd w:fill="FFFFFF" w:val="clear"/>
          <w:lang w:bidi="hi-IN"/>
        </w:rPr>
        <w: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Fundos Municipais constituirão unidade orçamentária específica, e terão suas Receitas vinculadas a Despesas relacionadas com seus objetivos, identificadas em Planos de Aplicação, representados nas Planilhas de Despesas referidas no inciso V do parágrafo único do art. 7</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Independentemente da natureza de despesa em que for classificado, todo  e qualquer crédito orçamentário deve ser consignado diretamente à unidade orçamentária à qual pertencem as ações correspondentes.</w:t>
      </w:r>
    </w:p>
    <w:p>
      <w:pPr>
        <w:pStyle w:val="Normal"/>
        <w:ind w:left="0" w:right="0" w:firstLine="709"/>
        <w:jc w:val="both"/>
        <w:rPr/>
      </w:pPr>
      <w:r>
        <w:rPr>
          <w:rFonts w:eastAsia="NSimSun" w:cs="Times New Roman"/>
          <w:color w:val="000000"/>
          <w:kern w:val="2"/>
          <w:sz w:val="24"/>
          <w:szCs w:val="24"/>
          <w:shd w:fill="FFFFFF" w:val="clear"/>
          <w:lang w:bidi="hi-IN"/>
        </w:rPr>
        <w:t>Parágrafo único. As operações entre órgãos, fundos e entidades previstas nos Orçamentos Fiscal e da Seguridade Social, que demandem emissão de empenho, serão executadas nos termos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utilizando-se a modalidade de aplicação 91 - Aplicação Direta Decorrente de Operação entre Órgãos, Fundos e Entidades Integrantes do Orçamento Fiscal e do Orçamento da Seguridade Social.</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7</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Projeto de Lei Orçamentária Anual será encaminhado ao Poder Legislativo, conforme estabelecido no §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165 da Constituição Federal, no art. 117 da Lei Orgânica do Município e no art.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w:t>
      </w:r>
    </w:p>
    <w:p>
      <w:pPr>
        <w:pStyle w:val="Normal"/>
        <w:ind w:left="0" w:right="0" w:firstLine="709"/>
        <w:jc w:val="both"/>
        <w:rPr/>
      </w:pPr>
      <w:r>
        <w:rPr>
          <w:rFonts w:eastAsia="NSimSun" w:cs="Times New Roman"/>
          <w:color w:val="000000"/>
          <w:kern w:val="2"/>
          <w:sz w:val="24"/>
          <w:szCs w:val="24"/>
          <w:shd w:fill="FFFFFF" w:val="clear"/>
          <w:lang w:bidi="hi-IN"/>
        </w:rPr>
        <w:t>Parágrafo único. Integrarão a Proposta Orçamentária e a respectiva Lei Orçamentária, além dos quadros exigidos pela legislação federal:</w:t>
      </w:r>
    </w:p>
    <w:p>
      <w:pPr>
        <w:pStyle w:val="Normal"/>
        <w:ind w:left="0" w:right="0" w:firstLine="709"/>
        <w:jc w:val="both"/>
        <w:rPr/>
      </w:pPr>
      <w:r>
        <w:rPr>
          <w:rFonts w:eastAsia="NSimSun" w:cs="Times New Roman"/>
          <w:color w:val="000000"/>
          <w:kern w:val="2"/>
          <w:sz w:val="24"/>
          <w:szCs w:val="24"/>
          <w:shd w:fill="FFFFFF" w:val="clear"/>
          <w:lang w:bidi="hi-IN"/>
        </w:rPr>
        <w:t>I - discriminação da legislação básica da receita e da despesa dos orçamentos fiscal e da seguridade social;</w:t>
      </w:r>
    </w:p>
    <w:p>
      <w:pPr>
        <w:pStyle w:val="Normal"/>
        <w:ind w:left="0" w:right="0" w:firstLine="709"/>
        <w:jc w:val="both"/>
        <w:rPr/>
      </w:pPr>
      <w:r>
        <w:rPr>
          <w:rFonts w:eastAsia="NSimSun" w:cs="Times New Roman"/>
          <w:color w:val="000000"/>
          <w:kern w:val="2"/>
          <w:sz w:val="24"/>
          <w:szCs w:val="24"/>
          <w:shd w:fill="FFFFFF" w:val="clear"/>
          <w:lang w:bidi="hi-IN"/>
        </w:rPr>
        <w:t>II - demonstrativo da evolução da receita, por origem, em atendimento ao disposto no art. 12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III - demonstrativo da estimativa e compensação da renúncia de receita e da margem de expansão das despesas obrigatórias de caráter continuado, de acordo com o art.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II,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IV - quadro que evidencie, em colunas distintas, as receitas por origem e as despesas por grupo de natureza de despesa, dos orçamentos fiscal e da seguridade social, conforme art. 165, §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III, da Constituição Federal;</w:t>
      </w:r>
    </w:p>
    <w:p>
      <w:pPr>
        <w:pStyle w:val="Normal"/>
        <w:ind w:left="0" w:right="0" w:firstLine="709"/>
        <w:jc w:val="both"/>
        <w:rPr/>
      </w:pPr>
      <w:r>
        <w:rPr>
          <w:rFonts w:eastAsia="NSimSun" w:cs="Times New Roman"/>
          <w:color w:val="000000"/>
          <w:kern w:val="2"/>
          <w:sz w:val="24"/>
          <w:szCs w:val="24"/>
          <w:shd w:fill="FFFFFF" w:val="clear"/>
          <w:lang w:bidi="hi-IN"/>
        </w:rPr>
        <w:t>V - demonstrativo da receita por origem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nível de detalhamento) e planos de aplicação das despesas dos Fundos Especiais de que trata o art.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w:t>
      </w:r>
    </w:p>
    <w:p>
      <w:pPr>
        <w:pStyle w:val="Normal"/>
        <w:ind w:left="0" w:right="0" w:firstLine="709"/>
        <w:jc w:val="both"/>
        <w:rPr/>
      </w:pPr>
      <w:r>
        <w:rPr>
          <w:rFonts w:eastAsia="NSimSun" w:cs="Times New Roman"/>
          <w:color w:val="000000"/>
          <w:kern w:val="2"/>
          <w:sz w:val="24"/>
          <w:szCs w:val="24"/>
          <w:shd w:fill="FFFFFF" w:val="clear"/>
          <w:lang w:bidi="hi-IN"/>
        </w:rPr>
        <w:t>VI - demonstrativo de compatibilidade da programação do orçamento com a meta de resultado primário, observando-se, quando cabível, o disposto nos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e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w:t>
      </w:r>
    </w:p>
    <w:p>
      <w:pPr>
        <w:pStyle w:val="Normal"/>
        <w:ind w:left="0" w:right="0" w:firstLine="709"/>
        <w:jc w:val="both"/>
        <w:rPr/>
      </w:pPr>
      <w:r>
        <w:rPr>
          <w:rFonts w:eastAsia="NSimSun" w:cs="Times New Roman"/>
          <w:color w:val="000000"/>
          <w:kern w:val="2"/>
          <w:sz w:val="24"/>
          <w:szCs w:val="24"/>
          <w:shd w:fill="FFFFFF" w:val="clear"/>
          <w:lang w:bidi="hi-IN"/>
        </w:rPr>
        <w:t>VII - demonstrativo da fixação da despesa com pessoal e encargos sociais, para os Poderes Executivo e Legislativo, confrontando a sua totalização com a receita corrente líquida prevista, conforme metodologia de cálculo prevista na Instrução Normativa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18/2023, do Tribunal de Contas do Estado ou da norma que lhe for superveniente;</w:t>
      </w:r>
    </w:p>
    <w:p>
      <w:pPr>
        <w:pStyle w:val="Normal"/>
        <w:ind w:left="0" w:right="0" w:firstLine="709"/>
        <w:jc w:val="both"/>
        <w:rPr/>
      </w:pPr>
      <w:r>
        <w:rPr>
          <w:rFonts w:eastAsia="NSimSun" w:cs="Times New Roman"/>
          <w:color w:val="000000"/>
          <w:kern w:val="2"/>
          <w:sz w:val="24"/>
          <w:szCs w:val="24"/>
          <w:shd w:fill="FFFFFF" w:val="clear"/>
          <w:lang w:bidi="hi-IN"/>
        </w:rPr>
        <w:t>VIII - demonstrativo da previsão das aplicações de recursos na Manutenção e Desenvolvimento do Ensino, nos termos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9.394/1996, inclusive os recursos do Fundo de Manutenção e Desenvolvimento da Educação Básica e de Valorização dos Profissionais da Educação (Fundeb) de que trata 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14.113/2020;</w:t>
      </w:r>
    </w:p>
    <w:p>
      <w:pPr>
        <w:pStyle w:val="Normal"/>
        <w:ind w:left="0" w:right="0" w:firstLine="709"/>
        <w:jc w:val="both"/>
        <w:rPr/>
      </w:pPr>
      <w:r>
        <w:rPr>
          <w:rFonts w:eastAsia="NSimSun" w:cs="Times New Roman"/>
          <w:color w:val="000000"/>
          <w:kern w:val="2"/>
          <w:sz w:val="24"/>
          <w:szCs w:val="24"/>
          <w:shd w:fill="FFFFFF" w:val="clear"/>
          <w:lang w:bidi="hi-IN"/>
        </w:rPr>
        <w:t>IX - demonstrativo da previsão da aplicação anual do Município em Ações e Serviços Públicos de Saúde, nos termos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141/2012;</w:t>
      </w:r>
    </w:p>
    <w:p>
      <w:pPr>
        <w:pStyle w:val="Normal"/>
        <w:ind w:left="0" w:right="0" w:firstLine="709"/>
        <w:jc w:val="both"/>
        <w:rPr/>
      </w:pPr>
      <w:r>
        <w:rPr>
          <w:rFonts w:eastAsia="NSimSun" w:cs="Times New Roman"/>
          <w:color w:val="000000"/>
          <w:kern w:val="2"/>
          <w:sz w:val="24"/>
          <w:szCs w:val="24"/>
          <w:shd w:fill="FFFFFF" w:val="clear"/>
          <w:lang w:bidi="hi-IN"/>
        </w:rPr>
        <w:t>X - demonstrativo dos instrumentos de programação a serem financiados com recursos de operações de crédito realizadas e a realizar;</w:t>
      </w:r>
    </w:p>
    <w:p>
      <w:pPr>
        <w:pStyle w:val="Normal"/>
        <w:ind w:left="0" w:right="0" w:firstLine="709"/>
        <w:jc w:val="both"/>
        <w:rPr/>
      </w:pPr>
      <w:r>
        <w:rPr>
          <w:rFonts w:eastAsia="NSimSun" w:cs="Times New Roman"/>
          <w:color w:val="000000"/>
          <w:kern w:val="2"/>
          <w:sz w:val="24"/>
          <w:szCs w:val="24"/>
          <w:shd w:fill="FFFFFF" w:val="clear"/>
          <w:lang w:bidi="hi-IN"/>
        </w:rPr>
        <w:t>XI - demonstrativo do cálculo do limite máximo da despesa do Poder Legislativo, conforme o artigo 29-A da Constituição Federal, observado o disposto no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13 desta Lei.</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8</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mensagem que encaminhar o projeto de lei orçamentária anual conterá:</w:t>
      </w:r>
    </w:p>
    <w:p>
      <w:pPr>
        <w:pStyle w:val="Normal"/>
        <w:ind w:left="0" w:right="0" w:firstLine="709"/>
        <w:jc w:val="both"/>
        <w:rPr/>
      </w:pPr>
      <w:r>
        <w:rPr>
          <w:rFonts w:eastAsia="NSimSun" w:cs="Times New Roman"/>
          <w:color w:val="000000"/>
          <w:kern w:val="2"/>
          <w:sz w:val="24"/>
          <w:szCs w:val="24"/>
          <w:shd w:fill="FFFFFF" w:val="clear"/>
          <w:lang w:bidi="hi-IN"/>
        </w:rPr>
        <w:t>I - relato sucinto da situação econômica e financeira do Município e projeções para o próximo exercício, com destaque, se for o caso, para o comprometimento da receita corrente líquida com o pagamento da dívida;</w:t>
      </w:r>
    </w:p>
    <w:p>
      <w:pPr>
        <w:pStyle w:val="Normal"/>
        <w:ind w:left="0" w:right="0" w:firstLine="709"/>
        <w:jc w:val="both"/>
        <w:rPr/>
      </w:pPr>
      <w:r>
        <w:rPr>
          <w:rFonts w:eastAsia="NSimSun" w:cs="Times New Roman"/>
          <w:color w:val="000000"/>
          <w:kern w:val="2"/>
          <w:sz w:val="24"/>
          <w:szCs w:val="24"/>
          <w:shd w:fill="FFFFFF" w:val="clear"/>
          <w:lang w:bidi="hi-IN"/>
        </w:rPr>
        <w:t>II - resumo da política econômica e social do Governo;</w:t>
      </w:r>
    </w:p>
    <w:p>
      <w:pPr>
        <w:pStyle w:val="Normal"/>
        <w:ind w:left="0" w:right="0" w:firstLine="709"/>
        <w:jc w:val="both"/>
        <w:rPr/>
      </w:pPr>
      <w:r>
        <w:rPr>
          <w:rFonts w:eastAsia="NSimSun" w:cs="Times New Roman"/>
          <w:color w:val="000000"/>
          <w:kern w:val="2"/>
          <w:sz w:val="24"/>
          <w:szCs w:val="24"/>
          <w:shd w:fill="FFFFFF" w:val="clear"/>
          <w:lang w:bidi="hi-IN"/>
        </w:rPr>
        <w:t>III - memória de cálculo e justificativa da estimativa da receita e da fixação da despesa, observando-se, no que couber, ao disposto nos arts. 22, I, 39 e 30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e no art. 12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IV - demonstrativo da dívida fundada, assim como da evolução do seu estoque nos últimos três anos, a situação provável no final de 2024 e a previsão para o exercício de 2025;</w:t>
      </w:r>
    </w:p>
    <w:p>
      <w:pPr>
        <w:pStyle w:val="Normal"/>
        <w:ind w:left="0" w:right="0" w:firstLine="709"/>
        <w:jc w:val="both"/>
        <w:rPr/>
      </w:pPr>
      <w:r>
        <w:rPr>
          <w:rFonts w:eastAsia="NSimSun" w:cs="Times New Roman"/>
          <w:color w:val="000000"/>
          <w:kern w:val="2"/>
          <w:sz w:val="24"/>
          <w:szCs w:val="24"/>
          <w:shd w:fill="FFFFFF" w:val="clear"/>
          <w:lang w:bidi="hi-IN"/>
        </w:rPr>
        <w:t>V - relação dos precatórios a serem cumpridos com as dotações para tal fim constantes na proposta orçamentária;</w:t>
      </w:r>
    </w:p>
    <w:p>
      <w:pPr>
        <w:pStyle w:val="Normal"/>
        <w:ind w:left="0" w:right="0" w:firstLine="709"/>
        <w:jc w:val="both"/>
        <w:rPr/>
      </w:pPr>
      <w:r>
        <w:rPr>
          <w:rFonts w:eastAsia="NSimSun" w:cs="Times New Roman"/>
          <w:color w:val="000000"/>
          <w:kern w:val="2"/>
          <w:sz w:val="24"/>
          <w:szCs w:val="24"/>
          <w:shd w:fill="FFFFFF" w:val="clear"/>
          <w:lang w:bidi="hi-IN"/>
        </w:rPr>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9</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Deverão ser discriminadas em ações orçamentárias específicas as dotações destinadas:</w:t>
      </w:r>
    </w:p>
    <w:p>
      <w:pPr>
        <w:pStyle w:val="Normal"/>
        <w:ind w:left="0" w:right="0" w:firstLine="709"/>
        <w:jc w:val="both"/>
        <w:rPr/>
      </w:pPr>
      <w:r>
        <w:rPr>
          <w:rFonts w:eastAsia="NSimSun" w:cs="Times New Roman"/>
          <w:color w:val="000000"/>
          <w:kern w:val="2"/>
          <w:sz w:val="24"/>
          <w:szCs w:val="24"/>
          <w:shd w:fill="FFFFFF" w:val="clear"/>
          <w:lang w:bidi="hi-IN"/>
        </w:rPr>
        <w:t xml:space="preserve">I - às ações de alimentação escolar; </w:t>
      </w:r>
    </w:p>
    <w:p>
      <w:pPr>
        <w:pStyle w:val="Normal"/>
        <w:ind w:left="0" w:right="0" w:firstLine="709"/>
        <w:jc w:val="both"/>
        <w:rPr/>
      </w:pPr>
      <w:r>
        <w:rPr>
          <w:rFonts w:eastAsia="NSimSun" w:cs="Times New Roman"/>
          <w:color w:val="000000"/>
          <w:kern w:val="2"/>
          <w:sz w:val="24"/>
          <w:szCs w:val="24"/>
          <w:shd w:fill="FFFFFF" w:val="clear"/>
          <w:lang w:bidi="hi-IN"/>
        </w:rPr>
        <w:t>II - às ações de transporte escolar;</w:t>
      </w:r>
    </w:p>
    <w:p>
      <w:pPr>
        <w:pStyle w:val="Normal"/>
        <w:ind w:left="0" w:right="0" w:firstLine="709"/>
        <w:jc w:val="both"/>
        <w:rPr/>
      </w:pPr>
      <w:r>
        <w:rPr>
          <w:rFonts w:eastAsia="NSimSun" w:cs="Times New Roman"/>
          <w:color w:val="000000"/>
          <w:kern w:val="2"/>
          <w:sz w:val="24"/>
          <w:szCs w:val="24"/>
          <w:shd w:fill="FFFFFF" w:val="clear"/>
          <w:lang w:bidi="hi-IN"/>
        </w:rPr>
        <w:t>III - à concessão de subvenções econômicas e subsídios a pessoas físicas e jurídicas com finalidade lucrativa;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IV - à concessão de subvenções sociais, contribuições correntes, contribuições de capital e auxílios a entidades privadas sem fins lucrativos;</w:t>
      </w:r>
    </w:p>
    <w:p>
      <w:pPr>
        <w:pStyle w:val="Normal"/>
        <w:ind w:left="0" w:right="0" w:firstLine="709"/>
        <w:jc w:val="both"/>
        <w:rPr/>
      </w:pPr>
      <w:r>
        <w:rPr>
          <w:rFonts w:eastAsia="NSimSun" w:cs="Times New Roman"/>
          <w:color w:val="000000"/>
          <w:kern w:val="2"/>
          <w:sz w:val="24"/>
          <w:szCs w:val="24"/>
          <w:shd w:fill="FFFFFF" w:val="clear"/>
          <w:lang w:bidi="hi-IN"/>
        </w:rPr>
        <w:t>V - à transferência de recursos para Consórcios Públicos em decorrência de contrato de rateio;</w:t>
      </w:r>
    </w:p>
    <w:p>
      <w:pPr>
        <w:pStyle w:val="Normal"/>
        <w:ind w:left="0" w:right="0" w:firstLine="709"/>
        <w:jc w:val="both"/>
        <w:rPr/>
      </w:pPr>
      <w:r>
        <w:rPr>
          <w:rFonts w:eastAsia="NSimSun" w:cs="Times New Roman"/>
          <w:color w:val="000000"/>
          <w:kern w:val="2"/>
          <w:sz w:val="24"/>
          <w:szCs w:val="24"/>
          <w:shd w:fill="FFFFFF" w:val="clear"/>
          <w:lang w:bidi="hi-IN"/>
        </w:rPr>
        <w:t>VI - ao pagamento de sentenças judiciais;</w:t>
      </w:r>
    </w:p>
    <w:p>
      <w:pPr>
        <w:pStyle w:val="Normal"/>
        <w:ind w:left="0" w:right="0" w:firstLine="709"/>
        <w:jc w:val="both"/>
        <w:rPr/>
      </w:pPr>
      <w:r>
        <w:rPr>
          <w:rFonts w:eastAsia="NSimSun" w:cs="Times New Roman"/>
          <w:color w:val="000000"/>
          <w:kern w:val="2"/>
          <w:sz w:val="24"/>
          <w:szCs w:val="24"/>
          <w:shd w:fill="FFFFFF" w:val="clear"/>
          <w:lang w:bidi="hi-IN"/>
        </w:rPr>
        <w:t>VII - às despesas com publicidade institucional;</w:t>
      </w:r>
    </w:p>
    <w:p>
      <w:pPr>
        <w:pStyle w:val="Normal"/>
        <w:ind w:left="0" w:right="0" w:firstLine="709"/>
        <w:jc w:val="both"/>
        <w:rPr/>
      </w:pPr>
      <w:r>
        <w:rPr>
          <w:rFonts w:eastAsia="NSimSun" w:cs="Times New Roman"/>
          <w:color w:val="000000"/>
          <w:kern w:val="2"/>
          <w:sz w:val="24"/>
          <w:szCs w:val="24"/>
          <w:shd w:fill="FFFFFF" w:val="clear"/>
          <w:lang w:bidi="hi-IN"/>
        </w:rPr>
        <w:t>VIII - às despesas com amortização, juros e encargos da dívida pública;</w:t>
      </w:r>
    </w:p>
    <w:p>
      <w:pPr>
        <w:pStyle w:val="Normal"/>
        <w:ind w:left="0" w:right="0" w:firstLine="709"/>
        <w:jc w:val="both"/>
        <w:rPr/>
      </w:pPr>
      <w:r>
        <w:rPr>
          <w:rFonts w:eastAsia="NSimSun" w:cs="Times New Roman"/>
          <w:color w:val="000000"/>
          <w:kern w:val="2"/>
          <w:sz w:val="24"/>
          <w:szCs w:val="24"/>
          <w:shd w:fill="FFFFFF" w:val="clear"/>
          <w:lang w:bidi="hi-IN"/>
        </w:rPr>
        <w:t>IX - ao pagamento de benefícios do Regime Próprio de Previdência Social;</w:t>
      </w:r>
    </w:p>
    <w:p>
      <w:pPr>
        <w:pStyle w:val="Normal"/>
        <w:ind w:left="0" w:right="0" w:firstLine="709"/>
        <w:jc w:val="both"/>
        <w:rPr/>
      </w:pPr>
      <w:r>
        <w:rPr>
          <w:rFonts w:eastAsia="NSimSun" w:cs="Times New Roman"/>
          <w:color w:val="000000"/>
          <w:kern w:val="2"/>
          <w:sz w:val="24"/>
          <w:szCs w:val="24"/>
          <w:shd w:fill="FFFFFF" w:val="clear"/>
          <w:lang w:bidi="hi-IN"/>
        </w:rPr>
        <w:t>X - ao custeio, pelo Município, de despesas de competência de outros entes da Federação, observado o disposto no art. 62 desta Lei.</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10. A Reserva de Contingência para fins de atendimento dos riscos fiscais especificados no Anexo II desta Lei será constituída com recursos não vinculados, e será fixada em, no mínimo, 1% (um por cento) da receita corrente líquida.</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de utilização da reserva de contingência referida no caput, considera-se evento fiscal imprevisto a necessidade de atendimento de despesas não previstas ou insuficientemente dotadas na lei orçamentária, mediante abertura de créditos adicionais.</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Além da Reserva de Contingência referida no caput, o Projeto de Lei Orçamentária conterá reservas para o atendimento de programações decorrentes de emendas parlamentares que forem aprovadas nos termos dos arts. 33 a 39 desta Lei.</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IV - Das Diretrizes para Elaboração e Execução do Orçamento e suas Alterações</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I - Das Diretrizes Gerais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11. Os órgãos da Administração Indireta e o Poder Legislativo encaminharão à Secretaria de Finanças, até 5 de outubro de 2024, suas respectivas propostas orçamentárias, para fins de consolidação do Projeto de Lei Orçamentária, observadas as disposições desta Lei.</w:t>
      </w:r>
    </w:p>
    <w:p>
      <w:pPr>
        <w:pStyle w:val="Normal"/>
        <w:ind w:left="0" w:right="0" w:firstLine="709"/>
        <w:jc w:val="both"/>
        <w:rPr/>
      </w:pPr>
      <w:r>
        <w:rPr>
          <w:rFonts w:eastAsia="NSimSun" w:cs="Times New Roman"/>
          <w:color w:val="000000"/>
          <w:kern w:val="2"/>
          <w:sz w:val="24"/>
          <w:szCs w:val="24"/>
          <w:shd w:fill="FFFFFF" w:val="clear"/>
          <w:lang w:bidi="hi-IN"/>
        </w:rPr>
        <w:t>Parágrafo único. O prazo estabelecido no caput também se aplica ao respectivo conselho, em relação às deliberações que, por força de norma legal, devem efetuar em relação às propostas de aplicação dos recursos vinculados:</w:t>
      </w:r>
    </w:p>
    <w:p>
      <w:pPr>
        <w:pStyle w:val="Normal"/>
        <w:ind w:left="0" w:right="0" w:firstLine="709"/>
        <w:jc w:val="both"/>
        <w:rPr/>
      </w:pPr>
      <w:r>
        <w:rPr>
          <w:rFonts w:eastAsia="NSimSun" w:cs="Times New Roman"/>
          <w:color w:val="000000"/>
          <w:kern w:val="2"/>
          <w:sz w:val="24"/>
          <w:szCs w:val="24"/>
          <w:shd w:fill="FFFFFF" w:val="clear"/>
          <w:lang w:bidi="hi-IN"/>
        </w:rPr>
        <w:t>I - ao Fundo Municipal de Saúde - FMS;</w:t>
      </w:r>
    </w:p>
    <w:p>
      <w:pPr>
        <w:pStyle w:val="Normal"/>
        <w:ind w:left="0" w:right="0" w:firstLine="709"/>
        <w:jc w:val="both"/>
        <w:rPr/>
      </w:pPr>
      <w:r>
        <w:rPr>
          <w:rFonts w:eastAsia="NSimSun" w:cs="Times New Roman"/>
          <w:color w:val="000000"/>
          <w:kern w:val="2"/>
          <w:sz w:val="24"/>
          <w:szCs w:val="24"/>
          <w:shd w:fill="FFFFFF" w:val="clear"/>
          <w:lang w:bidi="hi-IN"/>
        </w:rPr>
        <w:t>II - ao Fundo Municipal de Assistência Social - FMAS;</w:t>
      </w:r>
    </w:p>
    <w:p>
      <w:pPr>
        <w:pStyle w:val="Normal"/>
        <w:ind w:left="0" w:right="0" w:firstLine="709"/>
        <w:jc w:val="both"/>
        <w:rPr/>
      </w:pPr>
      <w:r>
        <w:rPr>
          <w:rFonts w:eastAsia="NSimSun" w:cs="Times New Roman"/>
          <w:color w:val="000000"/>
          <w:kern w:val="2"/>
          <w:sz w:val="24"/>
          <w:szCs w:val="24"/>
          <w:shd w:fill="FFFFFF" w:val="clear"/>
          <w:lang w:bidi="hi-IN"/>
        </w:rPr>
        <w:t>III - ao fundo Municipal dos Direitos da Criança e do Adolescente - FUMDICA;</w:t>
      </w:r>
    </w:p>
    <w:p>
      <w:pPr>
        <w:pStyle w:val="Normal"/>
        <w:ind w:left="0" w:right="0" w:firstLine="709"/>
        <w:jc w:val="both"/>
        <w:rPr/>
      </w:pPr>
      <w:r>
        <w:rPr>
          <w:rFonts w:eastAsia="NSimSun" w:cs="Times New Roman"/>
          <w:color w:val="000000"/>
          <w:kern w:val="2"/>
          <w:sz w:val="24"/>
          <w:szCs w:val="24"/>
          <w:shd w:fill="FFFFFF" w:val="clear"/>
          <w:lang w:bidi="hi-IN"/>
        </w:rPr>
        <w:t>IV - ao Fundo Municipal do Idoso - FM Idoso;</w:t>
      </w:r>
    </w:p>
    <w:p>
      <w:pPr>
        <w:pStyle w:val="Normal"/>
        <w:ind w:left="0" w:right="0" w:firstLine="709"/>
        <w:jc w:val="both"/>
        <w:rPr/>
      </w:pPr>
      <w:r>
        <w:rPr>
          <w:rFonts w:eastAsia="NSimSun" w:cs="Times New Roman"/>
          <w:color w:val="000000"/>
          <w:kern w:val="2"/>
          <w:sz w:val="24"/>
          <w:szCs w:val="24"/>
          <w:shd w:fill="FFFFFF" w:val="clear"/>
          <w:lang w:bidi="hi-IN"/>
        </w:rPr>
        <w:t>V - ao Fundo de Manutenção e Desenvolvimento da Educação Básica e de Valorização dos Profissionais da Educação (Fundeb); e</w:t>
      </w:r>
    </w:p>
    <w:p>
      <w:pPr>
        <w:pStyle w:val="Normal"/>
        <w:ind w:left="0" w:right="0" w:firstLine="709"/>
        <w:jc w:val="both"/>
        <w:rPr/>
      </w:pPr>
      <w:r>
        <w:rPr>
          <w:rFonts w:eastAsia="NSimSun" w:cs="Times New Roman"/>
          <w:color w:val="000000"/>
          <w:kern w:val="2"/>
          <w:sz w:val="24"/>
          <w:szCs w:val="24"/>
          <w:shd w:fill="FFFFFF" w:val="clear"/>
          <w:lang w:bidi="hi-IN"/>
        </w:rPr>
        <w:t>VI - ao Regime Próprio de Previdência Social (RPPS).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de atendimento ao disposto no art. 48,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o Poder Executivo organizará audiência(s) pública(s) a fim de assegurar aos cidadãos a participação na seleção das prioridades de investimentos, que terão recursos consignados no orçamento.</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Câmara Municipal organizará audiência(s) pública(s) para discussão da proposta orçamentária durante o processo de sua apreciação e aprovação.</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2025.</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da fixação da despesa orçamentária da Câmara Municipal, observado os limites estabelecidos no art. 29-A da Constituição Federal e a metodologia de cálculo estabelecida pela Instrução Normativa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18/2023 do Tribunal de Contas do Estado ou da norma que lhe for superveniente, considerar-se-á a receita arrecadada até mês de junho, acrescida da tendência de arrecadação até o final do exercício.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14. Observado o disposto no art. 45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somente serão destinadas dotações para novos projetos para investimentos se:</w:t>
      </w:r>
    </w:p>
    <w:p>
      <w:pPr>
        <w:pStyle w:val="Normal"/>
        <w:ind w:left="0" w:right="0" w:firstLine="709"/>
        <w:jc w:val="both"/>
        <w:rPr/>
      </w:pPr>
      <w:r>
        <w:rPr>
          <w:rFonts w:eastAsia="NSimSun" w:cs="Times New Roman"/>
          <w:color w:val="000000"/>
          <w:kern w:val="2"/>
          <w:sz w:val="24"/>
          <w:szCs w:val="24"/>
          <w:shd w:fill="FFFFFF" w:val="clear"/>
          <w:lang w:bidi="hi-IN"/>
        </w:rPr>
        <w:t>I - tiverem sido adequada e suficientemente contempladas as despesas para conservação do patrimônio público e para os projetos em andamento, constantes do Anexo IV desta Lei;</w:t>
      </w:r>
    </w:p>
    <w:p>
      <w:pPr>
        <w:pStyle w:val="Normal"/>
        <w:ind w:left="0" w:right="0" w:firstLine="709"/>
        <w:jc w:val="both"/>
        <w:rPr/>
      </w:pPr>
      <w:r>
        <w:rPr>
          <w:rFonts w:eastAsia="NSimSun" w:cs="Times New Roman"/>
          <w:color w:val="000000"/>
          <w:kern w:val="2"/>
          <w:sz w:val="24"/>
          <w:szCs w:val="24"/>
          <w:shd w:fill="FFFFFF" w:val="clear"/>
          <w:lang w:bidi="hi-IN"/>
        </w:rPr>
        <w:t>II - a ação estiver compatível com o Plano Plurianual.</w:t>
      </w:r>
    </w:p>
    <w:p>
      <w:pPr>
        <w:pStyle w:val="Normal"/>
        <w:ind w:left="0" w:right="0" w:firstLine="709"/>
        <w:jc w:val="both"/>
        <w:rPr/>
      </w:pPr>
      <w:r>
        <w:rPr>
          <w:rFonts w:eastAsia="NSimSun" w:cs="Times New Roman"/>
          <w:color w:val="000000"/>
          <w:kern w:val="2"/>
          <w:sz w:val="24"/>
          <w:szCs w:val="24"/>
          <w:shd w:fill="FFFFFF" w:val="clear"/>
          <w:lang w:bidi="hi-IN"/>
        </w:rPr>
        <w:t>Parágrafo único. O disposto neste artigo não se aplica ao início ou continuidade de investimentos programados com recursos oriundos de transferências voluntárias, de transferências especiais da União, de operações de crédito ou de alienação de bens, cuja execução fica limitada à respectiva disponibilidade orçamentária e financeira.</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Art. 15. Os procedimentos administrativos de estimativa do impacto orçamentário-financeiro e declaração do ordenador da despesa de que trata o art. 16, I e II,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quando forem exigíveis, deverão ser inseridos no processo que abriga os autos da licitação ou de sua dispensa/inexigibilidade.</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efeito do disposto no art. 16,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entendem-se como despesas irrelevantes aquelas cujo valor no exercício financeiro de 2025, em cada evento de contratação, não ultrapasse o limite estabelecido para dispensa de licitação de que trata o art. 75, inciso II,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14.133/2021.</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 caso de despesas com pessoal e respectivos encargos, desde que não configurem geração de despesa obrigatória de caráter continuado, serão consideradas irrelevantes aquelas cujo montante, em cada evento de admissão, não exceda 10 (dez) vezes o menor padrão de vencimentos.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16. No caso de aumento de despesas decorrentes da criação, expansão ou aperfeiçoamento de ação governamental, que não se enquadrem como de caráter irrelevante nos termos do art. 15 desta Lei, deverão ser observados os seguintes requisitos:</w:t>
      </w:r>
    </w:p>
    <w:p>
      <w:pPr>
        <w:pStyle w:val="Normal"/>
        <w:ind w:left="0" w:right="0" w:firstLine="709"/>
        <w:jc w:val="both"/>
        <w:rPr/>
      </w:pPr>
      <w:r>
        <w:rPr>
          <w:rFonts w:eastAsia="NSimSun" w:cs="Times New Roman"/>
          <w:color w:val="000000"/>
          <w:kern w:val="2"/>
          <w:sz w:val="24"/>
          <w:szCs w:val="24"/>
          <w:shd w:fill="FFFFFF" w:val="clear"/>
          <w:lang w:bidi="hi-IN"/>
        </w:rPr>
        <w:t>I - se for obrigatória de caráter continuado, atender ao disposto no art. 16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e estar acompanhada de medidas de compensação, no exercício em que entre em vigor e nos dois exercícios subsequentes, por meio de:</w:t>
      </w:r>
    </w:p>
    <w:p>
      <w:pPr>
        <w:pStyle w:val="Normal"/>
        <w:ind w:left="0" w:right="0" w:firstLine="709"/>
        <w:jc w:val="both"/>
        <w:rPr/>
      </w:pPr>
      <w:r>
        <w:rPr>
          <w:rFonts w:eastAsia="NSimSun" w:cs="Times New Roman"/>
          <w:color w:val="000000"/>
          <w:kern w:val="2"/>
          <w:sz w:val="24"/>
          <w:szCs w:val="24"/>
          <w:shd w:fill="FFFFFF" w:val="clear"/>
          <w:lang w:bidi="hi-IN"/>
        </w:rPr>
        <w:t>a) aumento de receita, proveniente de elevação de alíquotas, ampliação da base de cálculo, majoração ou criação de tributo ou contribuição; ou</w:t>
      </w:r>
    </w:p>
    <w:p>
      <w:pPr>
        <w:pStyle w:val="Normal"/>
        <w:ind w:left="0" w:right="0" w:firstLine="709"/>
        <w:jc w:val="both"/>
        <w:rPr/>
      </w:pPr>
      <w:r>
        <w:rPr>
          <w:rFonts w:eastAsia="NSimSun" w:cs="Times New Roman"/>
          <w:color w:val="000000"/>
          <w:kern w:val="2"/>
          <w:sz w:val="24"/>
          <w:szCs w:val="24"/>
          <w:shd w:fill="FFFFFF" w:val="clear"/>
          <w:lang w:bidi="hi-IN"/>
        </w:rPr>
        <w:t>b) redução permanente de despesas.</w:t>
      </w:r>
    </w:p>
    <w:p>
      <w:pPr>
        <w:pStyle w:val="Normal"/>
        <w:ind w:left="0" w:right="0" w:firstLine="709"/>
        <w:jc w:val="both"/>
        <w:rPr/>
      </w:pPr>
      <w:r>
        <w:rPr>
          <w:rFonts w:eastAsia="NSimSun" w:cs="Times New Roman"/>
          <w:color w:val="000000"/>
          <w:kern w:val="2"/>
          <w:sz w:val="24"/>
          <w:szCs w:val="24"/>
          <w:shd w:fill="FFFFFF" w:val="clear"/>
          <w:lang w:bidi="hi-IN"/>
        </w:rPr>
        <w:t>II - se não for obrigatória de caráter continuado, cumprir os requisitos previstos no art. 16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dispensada a apresentação de medida compensatória.</w:t>
      </w:r>
    </w:p>
    <w:p>
      <w:pPr>
        <w:pStyle w:val="Normal"/>
        <w:ind w:left="0" w:right="0" w:firstLine="709"/>
        <w:jc w:val="both"/>
        <w:rPr/>
      </w:pPr>
      <w:r>
        <w:rPr>
          <w:rFonts w:eastAsia="NSimSun" w:cs="Times New Roman"/>
          <w:color w:val="000000"/>
          <w:kern w:val="2"/>
          <w:sz w:val="24"/>
          <w:szCs w:val="24"/>
          <w:shd w:fill="FFFFFF" w:val="clear"/>
          <w:lang w:bidi="hi-IN"/>
        </w:rPr>
        <w:t>§1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ficam dispensadas das medidas de compensação as hipóteses de aumento permanente de despesas previstas no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24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 caso de criação ou aumento de despesas decorrentes de ações destinadas ao combate de situação de calamidade pública, aplicam-se, no que couber, as disposições do art. 65,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III,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17. O controle de custos e avaliação dos resultados dos programas financiados com recursos dos orçamentos das ações desenvolvidas pelo Poder Público Municipal de deverão ser orientados para o estabelecimento da relação entre a despesa pública e o resultado obtido, de forma a priorizar a análise da eficiência na alocação dos recursos, permitindo o acompanhamento das gestões orçamentária, financeira e patrimonial.</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custos serão apurados e avaliados através das operações orçamentárias, tomando-se por base, a comparação entre as despesas autorizadas e liquidadas, bem como a comparação entre as metas físicas previstas e as realizadas.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Caberá à Secretaria Municipal de Finanças organizar a formação de Grupos Setoriais de Custos, oportunizando o acesso a treinamentos, reuniões técnicas e outros eventos a serem realizados com vistas ao aperfeiçoamento da gestão de custos na Administração Pública Municipal.</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informações sobre a previsão e execução física e financeira dos programas finalísticos, cuja totalidade de recursos contemplados no respectivo orçamento seja superior a R$ 500.000,00 deverão ser objeto de capítulo específico no relatório de avaliação das metas fiscais do último quadrimestre do exercício, a ser apresentado em audiência pública na forma do art. 25 desta Lei.</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II - Das Diretrizes Específicas do Orçamento da Seguridade Social</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18. O Orçamento da Seguridade Social compreenderá as dotações destinadas a atender às ações de saúde, previdência e assistência social, e contará, entre outros, com recursos provenientes: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I - do produto da arrecadação de impostos e transferências constitucionais vinculados às ações e serviços públicos de saúde, nos termos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141, de 13 de janeiro de 2012;</w:t>
      </w:r>
    </w:p>
    <w:p>
      <w:pPr>
        <w:pStyle w:val="Normal"/>
        <w:ind w:left="0" w:right="0" w:firstLine="709"/>
        <w:jc w:val="both"/>
        <w:rPr/>
      </w:pPr>
      <w:r>
        <w:rPr>
          <w:rFonts w:eastAsia="NSimSun" w:cs="Times New Roman"/>
          <w:color w:val="000000"/>
          <w:kern w:val="2"/>
          <w:sz w:val="24"/>
          <w:szCs w:val="24"/>
          <w:shd w:fill="FFFFFF" w:val="clear"/>
          <w:lang w:bidi="hi-IN"/>
        </w:rPr>
        <w:t>II - das receitas vinculadas ao Regime Próprio de Previdência Social dos Servidores Municipais;</w:t>
      </w:r>
    </w:p>
    <w:p>
      <w:pPr>
        <w:pStyle w:val="Normal"/>
        <w:ind w:left="0" w:right="0" w:firstLine="709"/>
        <w:jc w:val="both"/>
        <w:rPr/>
      </w:pPr>
      <w:r>
        <w:rPr>
          <w:rFonts w:eastAsia="NSimSun" w:cs="Times New Roman"/>
          <w:color w:val="000000"/>
          <w:kern w:val="2"/>
          <w:sz w:val="24"/>
          <w:szCs w:val="24"/>
          <w:shd w:fill="FFFFFF" w:val="clear"/>
          <w:lang w:bidi="hi-IN"/>
        </w:rPr>
        <w:t>III - das demais receitas cujas despesas integram, exclusivamente, o orçamento referido no caput deste artigo;</w:t>
      </w:r>
    </w:p>
    <w:p>
      <w:pPr>
        <w:pStyle w:val="Normal"/>
        <w:ind w:left="0" w:right="0" w:firstLine="709"/>
        <w:jc w:val="both"/>
        <w:rPr/>
      </w:pPr>
      <w:r>
        <w:rPr>
          <w:rFonts w:eastAsia="NSimSun" w:cs="Times New Roman"/>
          <w:color w:val="000000"/>
          <w:kern w:val="2"/>
          <w:sz w:val="24"/>
          <w:szCs w:val="24"/>
          <w:shd w:fill="FFFFFF" w:val="clear"/>
          <w:lang w:bidi="hi-IN"/>
        </w:rPr>
        <w:t>IV - de aportes de recursos do Orçamento Fiscal.</w:t>
      </w:r>
    </w:p>
    <w:p>
      <w:pPr>
        <w:pStyle w:val="Normal"/>
        <w:ind w:left="0" w:right="0" w:firstLine="709"/>
        <w:jc w:val="both"/>
        <w:rPr/>
      </w:pPr>
      <w:r>
        <w:rPr>
          <w:rFonts w:eastAsia="NSimSun" w:cs="Times New Roman"/>
          <w:color w:val="000000"/>
          <w:kern w:val="2"/>
          <w:sz w:val="24"/>
          <w:szCs w:val="24"/>
          <w:shd w:fill="FFFFFF" w:val="clear"/>
          <w:lang w:bidi="hi-IN"/>
        </w:rPr>
        <w:t>Parágrafo único. O orçamento da seguridade social será evidenciado na forma do demonstrativo previsto no inciso IV do parágrafo único do art. 7</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III - Da programação financeira e limitação de empenhos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ato referido no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deste artigo e os que o modificarem conterá:</w:t>
      </w:r>
    </w:p>
    <w:p>
      <w:pPr>
        <w:pStyle w:val="Normal"/>
        <w:ind w:left="0" w:right="0" w:firstLine="709"/>
        <w:jc w:val="both"/>
        <w:rPr/>
      </w:pPr>
      <w:r>
        <w:rPr>
          <w:rFonts w:eastAsia="NSimSun" w:cs="Times New Roman"/>
          <w:color w:val="000000"/>
          <w:kern w:val="2"/>
          <w:sz w:val="24"/>
          <w:szCs w:val="24"/>
          <w:shd w:fill="FFFFFF" w:val="clear"/>
          <w:lang w:bidi="hi-IN"/>
        </w:rPr>
        <w:t>I - metas quadrimestrais para o resultado primário, que servirão de parâmetro para a avaliação de que trata o art. 9</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II - metas bimestrais de realização de receitas, em atendimento ao disposto no art. 13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discriminadas, no mínimo, por origem, identificando-se separadamente, quando cabível, as medidas de combate à evasão e à sonegação fiscal e da cobrança da dívida ativa;</w:t>
      </w:r>
    </w:p>
    <w:p>
      <w:pPr>
        <w:pStyle w:val="Normal"/>
        <w:ind w:left="0" w:right="0" w:firstLine="709"/>
        <w:jc w:val="both"/>
        <w:rPr/>
      </w:pPr>
      <w:r>
        <w:rPr>
          <w:rFonts w:eastAsia="NSimSun" w:cs="Times New Roman"/>
          <w:color w:val="000000"/>
          <w:kern w:val="2"/>
          <w:sz w:val="24"/>
          <w:szCs w:val="24"/>
          <w:shd w:fill="FFFFFF" w:val="clear"/>
          <w:lang w:bidi="hi-IN"/>
        </w:rPr>
        <w:t>III - cronograma de desembolso mensal de despesas, por órgão e unidade orçamentária.</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Excetuadas as despesas com pessoal e encargos sociais, precatórios e sentenças judiciais, o cronograma de desembolso do Poder Legislativo terá, como referencial, o repasse previsto no art. 168 da Constituição Federal, na forma de duodécimos.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20. Na execução do orçamento, verificado que o comportamento da receita ordinária poderá afetar o cumprimento das metas fiscais, e observado o disposto no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 os Poderes Executivo e Legislativo, adotarão, no âmbito das respectivas competências, a limitação de empenhos e movimentação financeira, observadas as respectivas fontes de recursos, nas seguintes despesas:</w:t>
      </w:r>
    </w:p>
    <w:p>
      <w:pPr>
        <w:pStyle w:val="Normal"/>
        <w:ind w:left="0" w:right="0" w:firstLine="709"/>
        <w:jc w:val="both"/>
        <w:rPr/>
      </w:pPr>
      <w:r>
        <w:rPr>
          <w:rFonts w:eastAsia="NSimSun" w:cs="Times New Roman"/>
          <w:color w:val="000000"/>
          <w:kern w:val="2"/>
          <w:sz w:val="24"/>
          <w:szCs w:val="24"/>
          <w:shd w:fill="FFFFFF" w:val="clear"/>
          <w:lang w:bidi="hi-IN"/>
        </w:rPr>
        <w:t>I - contrapartida para projetos ou atividades vinculados a recursos oriundos de fontes extraordinárias, como transferências voluntárias, operações de crédito, alienação de ativos, desde que ainda não comprometidos;</w:t>
      </w:r>
    </w:p>
    <w:p>
      <w:pPr>
        <w:pStyle w:val="Normal"/>
        <w:ind w:left="0" w:right="0" w:firstLine="709"/>
        <w:jc w:val="both"/>
        <w:rPr/>
      </w:pPr>
      <w:r>
        <w:rPr>
          <w:rFonts w:eastAsia="NSimSun" w:cs="Times New Roman"/>
          <w:color w:val="000000"/>
          <w:kern w:val="2"/>
          <w:sz w:val="24"/>
          <w:szCs w:val="24"/>
          <w:shd w:fill="FFFFFF" w:val="clear"/>
          <w:lang w:bidi="hi-IN"/>
        </w:rPr>
        <w:t>II - obras em geral, cuja fase ou etapa ainda não esteja iniciada;</w:t>
      </w:r>
    </w:p>
    <w:p>
      <w:pPr>
        <w:pStyle w:val="Normal"/>
        <w:ind w:left="0" w:right="0" w:firstLine="709"/>
        <w:jc w:val="both"/>
        <w:rPr/>
      </w:pPr>
      <w:r>
        <w:rPr>
          <w:rFonts w:eastAsia="NSimSun" w:cs="Times New Roman"/>
          <w:color w:val="000000"/>
          <w:kern w:val="2"/>
          <w:sz w:val="24"/>
          <w:szCs w:val="24"/>
          <w:shd w:fill="FFFFFF" w:val="clear"/>
          <w:lang w:bidi="hi-IN"/>
        </w:rPr>
        <w:t>III - aquisição de combustíveis e derivados, destinada à frota de veículos, exceto dos setores de saúde e educação;</w:t>
      </w:r>
    </w:p>
    <w:p>
      <w:pPr>
        <w:pStyle w:val="Normal"/>
        <w:ind w:left="0" w:right="0" w:firstLine="709"/>
        <w:jc w:val="both"/>
        <w:rPr/>
      </w:pPr>
      <w:r>
        <w:rPr>
          <w:rFonts w:eastAsia="NSimSun" w:cs="Times New Roman"/>
          <w:color w:val="000000"/>
          <w:kern w:val="2"/>
          <w:sz w:val="24"/>
          <w:szCs w:val="24"/>
          <w:shd w:fill="FFFFFF" w:val="clear"/>
          <w:lang w:bidi="hi-IN"/>
        </w:rPr>
        <w:t>IV - dotação para materiais de consumo e serviços de terceiros das diversas atividades;</w:t>
      </w:r>
    </w:p>
    <w:p>
      <w:pPr>
        <w:pStyle w:val="Normal"/>
        <w:ind w:left="0" w:right="0" w:firstLine="709"/>
        <w:jc w:val="both"/>
        <w:rPr/>
      </w:pPr>
      <w:r>
        <w:rPr>
          <w:rFonts w:eastAsia="NSimSun" w:cs="Times New Roman"/>
          <w:color w:val="000000"/>
          <w:kern w:val="2"/>
          <w:sz w:val="24"/>
          <w:szCs w:val="24"/>
          <w:shd w:fill="FFFFFF" w:val="clear"/>
          <w:lang w:bidi="hi-IN"/>
        </w:rPr>
        <w:t>V - diárias de viagem;</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VI - festividades, homenagens, recepções e demais eventos da mesma natureza; VII - despesas com publicidade institucional;</w:t>
      </w:r>
    </w:p>
    <w:p>
      <w:pPr>
        <w:pStyle w:val="Normal"/>
        <w:ind w:left="0" w:right="0" w:firstLine="709"/>
        <w:jc w:val="both"/>
        <w:rPr/>
      </w:pPr>
      <w:r>
        <w:rPr>
          <w:rFonts w:eastAsia="NSimSun" w:cs="Times New Roman"/>
          <w:color w:val="000000"/>
          <w:kern w:val="2"/>
          <w:sz w:val="24"/>
          <w:szCs w:val="24"/>
          <w:shd w:fill="FFFFFF" w:val="clear"/>
          <w:lang w:bidi="hi-IN"/>
        </w:rPr>
        <w:t>VIII - horas extras.</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de 2024, observada a vinculação de recursos.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Não serão objeto de limitação de empenho:</w:t>
      </w:r>
    </w:p>
    <w:p>
      <w:pPr>
        <w:pStyle w:val="Normal"/>
        <w:ind w:left="0" w:right="0" w:firstLine="709"/>
        <w:jc w:val="both"/>
        <w:rPr/>
      </w:pPr>
      <w:r>
        <w:rPr>
          <w:rFonts w:eastAsia="NSimSun" w:cs="Times New Roman"/>
          <w:color w:val="000000"/>
          <w:kern w:val="2"/>
          <w:sz w:val="24"/>
          <w:szCs w:val="24"/>
          <w:shd w:fill="FFFFFF" w:val="clear"/>
          <w:lang w:bidi="hi-IN"/>
        </w:rPr>
        <w:t>I - despesas relacionadas com vinculações constitucionais e legais, nos termos do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9</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e do art. 28 da Lei Complementar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141, de 13 de janeiro de 2012;</w:t>
      </w:r>
    </w:p>
    <w:p>
      <w:pPr>
        <w:pStyle w:val="Normal"/>
        <w:ind w:left="0" w:right="0" w:firstLine="709"/>
        <w:jc w:val="both"/>
        <w:rPr/>
      </w:pPr>
      <w:r>
        <w:rPr>
          <w:rFonts w:eastAsia="NSimSun" w:cs="Times New Roman"/>
          <w:color w:val="000000"/>
          <w:kern w:val="2"/>
          <w:sz w:val="24"/>
          <w:szCs w:val="24"/>
          <w:shd w:fill="FFFFFF" w:val="clear"/>
          <w:lang w:bidi="hi-IN"/>
        </w:rPr>
        <w:t>II - as despesas com o pagamento de precatórios e sentenças judiciais de pequeno valor;</w:t>
      </w:r>
    </w:p>
    <w:p>
      <w:pPr>
        <w:pStyle w:val="Normal"/>
        <w:ind w:left="0" w:right="0" w:firstLine="709"/>
        <w:jc w:val="both"/>
        <w:rPr/>
      </w:pPr>
      <w:r>
        <w:rPr>
          <w:rFonts w:eastAsia="NSimSun" w:cs="Times New Roman"/>
          <w:color w:val="000000"/>
          <w:kern w:val="2"/>
          <w:sz w:val="24"/>
          <w:szCs w:val="24"/>
          <w:shd w:fill="FFFFFF" w:val="clear"/>
          <w:lang w:bidi="hi-IN"/>
        </w:rPr>
        <w:t>III - as despesas fixas e obrigatórias com pessoal e encargos sociais; e</w:t>
      </w:r>
    </w:p>
    <w:p>
      <w:pPr>
        <w:pStyle w:val="Normal"/>
        <w:ind w:left="0" w:right="0" w:firstLine="709"/>
        <w:jc w:val="both"/>
        <w:rPr/>
      </w:pPr>
      <w:r>
        <w:rPr>
          <w:rFonts w:eastAsia="NSimSun" w:cs="Times New Roman"/>
          <w:color w:val="000000"/>
          <w:kern w:val="2"/>
          <w:sz w:val="24"/>
          <w:szCs w:val="24"/>
          <w:shd w:fill="FFFFFF" w:val="clear"/>
          <w:lang w:bidi="hi-IN"/>
        </w:rPr>
        <w:t>IV - as despesas financiadas com recursos de Transferências Voluntárias da União e do Estado, Operações de Crédito e Alienação de bens, observado o disposto no art. 22 desta Lei.</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deste artigo.</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Chefes do Poder Executivo e do Poder Legislativo, com base na informação a que se refere o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editarão ato, até o trigésimo dia subsequente ao encerramento do respectivo bimestre, que evidencie a limitação de empenho e movimentação financeira.</w:t>
      </w:r>
    </w:p>
    <w:p>
      <w:pPr>
        <w:pStyle w:val="Normal"/>
        <w:ind w:left="0" w:right="0" w:firstLine="709"/>
        <w:jc w:val="both"/>
        <w:rPr/>
      </w:pPr>
      <w:r>
        <w:rPr>
          <w:rFonts w:eastAsia="NSimSun" w:cs="Times New Roman"/>
          <w:color w:val="000000"/>
          <w:kern w:val="2"/>
          <w:sz w:val="24"/>
          <w:szCs w:val="24"/>
          <w:shd w:fill="FFFFFF" w:val="clear"/>
          <w:lang w:bidi="hi-IN"/>
        </w:rPr>
        <w:t>§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Ocorrendo o restabelecimento da receita prevista, a recomposição se fará obedecendo ao disposto no art. 9</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Sem prejuízo das disposições do art. 65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na ocorrência de calamidade pública, reconhecida na forma da lei, serão dispensadas a obtenção dos resultados fiscais programados e a limitação de empenho enquanto  perdurar essa situação.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21. Observado o disposto no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29-A, da Constituição Federal e o cronograma referido no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19 desta Lei, o repasse financeiro da cota destinada ao atendimento das despesas do Poder Legislativo será repassado até o dia 20 de cada mês, mediante depósito em conta bancária específica, indicada pela Mesa Diretora da Câmara Municipal.</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rendimentos das aplicações financeiras e outros ingressos orçamentários que venham a ser arrecadados através do Poder Legislativo, serão contabilizados como receita pelo Poder Executivo, tendo como contrapartida o repasse referido no caput este artigo.</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do disposto no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eventual saldo que não for devolvido no prazo estabelecido no parágrafo anterior, será devidamente registrado na contabilidade e considerado como antecipação de repasse do exercício financeiro de 2026.</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Art. 22. As dotações dos projetos, atividades e operações especiais previstos na Lei Orçamentária, ou em seus créditos adicionais, que dependam de recursos oriundos de transferências voluntárias, de transferências especiais da União, operações de crédito, alienação de bens e outros recursos vinculados, só serão movimentadas se ocorrer ou estiver garantido o seu ingresso no fluxo de caixa, respeitado ainda o montante ingressado ou garantido.</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execução das Receitas e das Despesas identificará com codificação adequada cada uma das fontes de recursos, de forma a permitir o adequado controle da vinculação, na forma estabelecida pelo parágrafo único do art. 8</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pPr>
        <w:pStyle w:val="Normal"/>
        <w:ind w:left="0" w:right="0" w:firstLine="709"/>
        <w:jc w:val="both"/>
        <w:rPr/>
      </w:pPr>
      <w:r>
        <w:rPr>
          <w:rFonts w:eastAsia="NSimSun" w:cs="Times New Roman"/>
          <w:color w:val="000000"/>
          <w:kern w:val="2"/>
          <w:sz w:val="24"/>
          <w:szCs w:val="24"/>
          <w:shd w:fill="FFFFFF" w:val="clear"/>
          <w:lang w:bidi="hi-IN"/>
        </w:rPr>
        <w:t>Parágrafo único. Os valores constantes no Projeto de Lei Orçamentária de 2025 poderão ser utilizados, até a sanção da respectiva Lei, para demonstrar a previsão orçamentária nos procedimentos referentes à fase interna da licitação.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24. Para efeito do disposto no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e do art. 42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considera-se contraída a obrigação, e exigível o empenho da despesa correspondente, no momento da formalização do contrato administrativo ou instrumento congênere.</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 caso de despesas relativas a obras e prestação de serviços, consideram-se compromissadas apenas as prestações cujos pagamentos devam ser realizados no exercício financeiro, observado o cronograma pactuado.</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Sem prejuízo do disposto no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a inscrição ou a manutenção dos restos a pagar processados e não processados subordinam-se às regras definidas na Instrução Normativa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18/2023, do Tribunal de Contas ou norma que lhe for superveniente.</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Compete ao Poder Legislativo Municipal, mediante prévio agendamento com o Poder Executivo, convocar e coordenar a realização das audiências públicas referidas no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IV - Das Alterações da Lei Orçamentária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26. A abertura de créditos suplementares e especiais dependerá da existência de recursos disponíveis para a despesa, nos termos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apuração do excesso de arrecadação para fins de abertura de créditos adicionais será realizada por fonte de recursos, conforme exigência contida no art. 8</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parágrafo único,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Nos casos de abertura de créditos suplementares e especiais à conta de superávit financeiro, as exposições de motivos conterão informações relativas a:</w:t>
      </w:r>
    </w:p>
    <w:p>
      <w:pPr>
        <w:pStyle w:val="Normal"/>
        <w:ind w:left="0" w:right="0" w:firstLine="709"/>
        <w:jc w:val="both"/>
        <w:rPr/>
      </w:pPr>
      <w:r>
        <w:rPr>
          <w:rFonts w:eastAsia="NSimSun" w:cs="Times New Roman"/>
          <w:color w:val="000000"/>
          <w:kern w:val="2"/>
          <w:sz w:val="24"/>
          <w:szCs w:val="24"/>
          <w:shd w:fill="FFFFFF" w:val="clear"/>
          <w:lang w:bidi="hi-IN"/>
        </w:rPr>
        <w:t>I - superávit financeiro do exercício de 2024, por fonte de recursos;</w:t>
      </w:r>
    </w:p>
    <w:p>
      <w:pPr>
        <w:pStyle w:val="Normal"/>
        <w:ind w:left="0" w:right="0" w:firstLine="709"/>
        <w:jc w:val="both"/>
        <w:rPr/>
      </w:pPr>
      <w:r>
        <w:rPr>
          <w:rFonts w:eastAsia="NSimSun" w:cs="Times New Roman"/>
          <w:color w:val="000000"/>
          <w:kern w:val="2"/>
          <w:sz w:val="24"/>
          <w:szCs w:val="24"/>
          <w:shd w:fill="FFFFFF" w:val="clear"/>
          <w:lang w:bidi="hi-IN"/>
        </w:rPr>
        <w:t>II - créditos especiais e extraordinários reabertos no exercício de 2025;</w:t>
      </w:r>
    </w:p>
    <w:p>
      <w:pPr>
        <w:pStyle w:val="Normal"/>
        <w:ind w:left="0" w:right="0" w:firstLine="709"/>
        <w:jc w:val="both"/>
        <w:rPr/>
      </w:pPr>
      <w:r>
        <w:rPr>
          <w:rFonts w:eastAsia="NSimSun" w:cs="Times New Roman"/>
          <w:color w:val="000000"/>
          <w:kern w:val="2"/>
          <w:sz w:val="24"/>
          <w:szCs w:val="24"/>
          <w:shd w:fill="FFFFFF" w:val="clear"/>
          <w:lang w:bidi="hi-IN"/>
        </w:rPr>
        <w:t>III - valores do superávit já utilizados em créditos adicionais, abertos ou em tramitação;</w:t>
      </w:r>
    </w:p>
    <w:p>
      <w:pPr>
        <w:pStyle w:val="Normal"/>
        <w:ind w:left="0" w:right="0" w:firstLine="709"/>
        <w:jc w:val="both"/>
        <w:rPr/>
      </w:pPr>
      <w:r>
        <w:rPr>
          <w:rFonts w:eastAsia="NSimSun" w:cs="Times New Roman"/>
          <w:color w:val="000000"/>
          <w:kern w:val="2"/>
          <w:sz w:val="24"/>
          <w:szCs w:val="24"/>
          <w:shd w:fill="FFFFFF" w:val="clear"/>
          <w:lang w:bidi="hi-IN"/>
        </w:rPr>
        <w:t>IV - saldo atualizado do superávit financeiro disponível, por fonte de recursos.</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Considera-se superávit financeiro do exercício anterior, para fins do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43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os recursos que forem disponibilizados a partir do cancelamento de restos a pagar, obedecida a fonte de recursos correspondente.</w:t>
      </w:r>
    </w:p>
    <w:p>
      <w:pPr>
        <w:pStyle w:val="Normal"/>
        <w:ind w:left="0" w:right="0" w:firstLine="709"/>
        <w:jc w:val="both"/>
        <w:rPr/>
      </w:pPr>
      <w:r>
        <w:rPr>
          <w:rFonts w:eastAsia="NSimSun" w:cs="Times New Roman"/>
          <w:color w:val="000000"/>
          <w:kern w:val="2"/>
          <w:sz w:val="24"/>
          <w:szCs w:val="24"/>
          <w:shd w:fill="FFFFFF" w:val="clear"/>
          <w:lang w:bidi="hi-IN"/>
        </w:rPr>
        <w: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créditos adicionais serão abertos conforme detalhamento constante no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27. No âmbito do Poder Legislativo, a abertura de créditos suplementares autorizados pela Lei Orçamentária Anual, com indicação de recursos compensatórios do próprio órgão, nos termos do art. 43,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III,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proceder-se-á por ato da Mesa Diretora da Câmara Municipal.</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Art. 28. Quanto necessária, a reabertura dos créditos especiais e extraordinários, conforme disposto no art. 167,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Constituição Federal, será efetivada por ato do Poder Executivo.</w:t>
      </w:r>
    </w:p>
    <w:p>
      <w:pPr>
        <w:pStyle w:val="Normal"/>
        <w:ind w:left="0" w:right="0" w:firstLine="709"/>
        <w:jc w:val="both"/>
        <w:rPr/>
      </w:pPr>
      <w:r>
        <w:rPr>
          <w:rFonts w:eastAsia="NSimSun" w:cs="Times New Roman"/>
          <w:color w:val="000000"/>
          <w:kern w:val="2"/>
          <w:sz w:val="24"/>
          <w:szCs w:val="24"/>
          <w:shd w:fill="FFFFFF" w:val="clear"/>
          <w:lang w:bidi="hi-IN"/>
        </w:rPr>
        <w:t>Parágrafo único. A codificação da programação objeto da reabertura dos créditos especiais e extraordinários poderá ser adequada à constante da Lei Orçamentária, desde que não haja alteração da finalidade das ações orçamentárias.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29. O Poder Executivo poderá, mediante Decreto, transpor, remanejar, transferir ou utilizar, total ou parcialmente, as dotações orçamentárias aprovadas na Lei Orçamentária Anual e em créditos adicionais, mantida a estrutura programática, conforme as definições do 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do disposto no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considera-se:</w:t>
      </w:r>
    </w:p>
    <w:p>
      <w:pPr>
        <w:pStyle w:val="Normal"/>
        <w:ind w:left="0" w:right="0" w:firstLine="709"/>
        <w:jc w:val="both"/>
        <w:rPr/>
      </w:pPr>
      <w:r>
        <w:rPr>
          <w:rFonts w:eastAsia="NSimSun" w:cs="Times New Roman"/>
          <w:color w:val="000000"/>
          <w:kern w:val="2"/>
          <w:sz w:val="24"/>
          <w:szCs w:val="24"/>
          <w:shd w:fill="FFFFFF" w:val="clear"/>
          <w:lang w:bidi="hi-IN"/>
        </w:rPr>
        <w:t>I - Transposições: deslocamento de dotações orçamentárias entre programas de trabalho alocados dentro do mesmo órgão ou unidade orçamentária;</w:t>
      </w:r>
    </w:p>
    <w:p>
      <w:pPr>
        <w:pStyle w:val="Normal"/>
        <w:ind w:left="0" w:right="0" w:firstLine="709"/>
        <w:jc w:val="both"/>
        <w:rPr/>
      </w:pPr>
      <w:r>
        <w:rPr>
          <w:rFonts w:eastAsia="NSimSun" w:cs="Times New Roman"/>
          <w:color w:val="000000"/>
          <w:kern w:val="2"/>
          <w:sz w:val="24"/>
          <w:szCs w:val="24"/>
          <w:shd w:fill="FFFFFF" w:val="clear"/>
          <w:lang w:bidi="hi-IN"/>
        </w:rPr>
        <w:t>II - 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 ou de órgãos da administração indireta.</w:t>
      </w:r>
    </w:p>
    <w:p>
      <w:pPr>
        <w:pStyle w:val="Normal"/>
        <w:ind w:left="0" w:right="0" w:firstLine="709"/>
        <w:jc w:val="both"/>
        <w:rPr/>
      </w:pPr>
      <w:r>
        <w:rPr>
          <w:rFonts w:eastAsia="NSimSun" w:cs="Times New Roman"/>
          <w:color w:val="000000"/>
          <w:kern w:val="2"/>
          <w:sz w:val="24"/>
          <w:szCs w:val="24"/>
          <w:shd w:fill="FFFFFF" w:val="clear"/>
          <w:lang w:bidi="hi-IN"/>
        </w:rPr>
        <w:t>III - Transferências: deslocamento de dotações de despesas correntes para despesas de capital, ou vice-versa, dentro do mesmo órgão ou unidade orçamentária e  do mesmo programa de governo.</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transposições, transferências ou remanejamentos não poderão resultar na criação de novas categorias de programação nem alteração do total da despesa autorizada na Lei Orçamentária, podendo haver, excepcionalmente, ajuste na classificação por funções e subfunções.</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 xml:space="preserve">Parágrafo único. O disposto no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também se aplica no caso de ajustes na codificação orçamentária, decorrentes da necessidade de adequação à classificação vigente, desde que não impliquem mudança de valores e de finalidade da programação.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V - Da execução provisória do Projeto de Lei Orçamentária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31. Se o projeto de lei orçamentária não for aprovado até 31 de dezembro de 2024,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Excetuam-se do disposto no caput deste artigo as despesas correntes nas áreas da saúde, educação e assistência social, bem como aquelas relativas ao serviço da dívida, amortização, cumprimento de sentenças judiciais e despesas à conta de recursos oriundos de transferências voluntárias e de operações de crédito, que serão executadas segundo suas necessidades específicas e a efetiva disponibilidade de recursos.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Não será interrompido o processamento de despesas com obras em andamento, assim entendidas aquelas constantes no projeto de lei orçamentária cuja execução financeira, até 31 de dezembro de 2024, já tenha ultrapassado 20% (vinte por cento) do valor contratado.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VI - Das Disposições Relativas às Emendas ao Projeto de Lei de Orçamento</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Subseção I - Disposições Gerais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32. Toda e qualquer e emenda ao projeto de lei orçamentária ou aos projetos de lei que a modifiquem, deverão ser compatíveis com os programas e objetivos da Lei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5640, de 13 de julho de 2021 - Plano Plurianual 2022/2025 e com as diretrizes, disposições, prioridades e metas desta Lei.</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Não serão admitidas, com a ressalva do inciso III do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166 da Constituição Federal, as emendas que resultem na diminuição das programações das despesas com pessoal e encargos sociais e com o serviço da dívida.</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do disposto no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I, do art. 166 da Constituição, serão consideradas incompatíveis com as diretrizes orçamentárias estabelecidas por esta Lei:</w:t>
      </w:r>
    </w:p>
    <w:p>
      <w:pPr>
        <w:pStyle w:val="Normal"/>
        <w:ind w:left="0" w:right="0" w:firstLine="709"/>
        <w:jc w:val="both"/>
        <w:rPr/>
      </w:pPr>
      <w:r>
        <w:rPr>
          <w:rFonts w:eastAsia="NSimSun" w:cs="Times New Roman"/>
          <w:color w:val="000000"/>
          <w:kern w:val="2"/>
          <w:sz w:val="24"/>
          <w:szCs w:val="24"/>
          <w:shd w:fill="FFFFFF" w:val="clear"/>
          <w:lang w:bidi="hi-IN"/>
        </w:rPr>
        <w:t>I - as emendas que acarretem a aplicação de recursos abaixo dos gastos mínimos constitucionalmente previstos para a manutenção e desenvolvimento do ensino e com as ações e serviços públicos de saúde;</w:t>
      </w:r>
    </w:p>
    <w:p>
      <w:pPr>
        <w:pStyle w:val="Normal"/>
        <w:ind w:left="0" w:right="0" w:firstLine="709"/>
        <w:jc w:val="both"/>
        <w:rPr/>
      </w:pPr>
      <w:r>
        <w:rPr>
          <w:rFonts w:eastAsia="NSimSun" w:cs="Times New Roman"/>
          <w:color w:val="000000"/>
          <w:kern w:val="2"/>
          <w:sz w:val="24"/>
          <w:szCs w:val="24"/>
          <w:shd w:fill="FFFFFF" w:val="clear"/>
          <w:lang w:bidi="hi-IN"/>
        </w:rPr>
        <w:t>II - as emendas que não preservem as dotações destinadas ao pagamento de sentenças judiciais;</w:t>
      </w:r>
    </w:p>
    <w:p>
      <w:pPr>
        <w:pStyle w:val="Normal"/>
        <w:ind w:left="0" w:right="0" w:firstLine="709"/>
        <w:jc w:val="both"/>
        <w:rPr/>
      </w:pPr>
      <w:r>
        <w:rPr>
          <w:rFonts w:eastAsia="NSimSun" w:cs="Times New Roman"/>
          <w:color w:val="000000"/>
          <w:kern w:val="2"/>
          <w:sz w:val="24"/>
          <w:szCs w:val="24"/>
          <w:shd w:fill="FFFFFF" w:val="clear"/>
          <w:lang w:bidi="hi-IN"/>
        </w:rPr>
        <w:t>III - as emendas que reduzirem o montante de dotações suportadas por recursos oriundos de transferências legais e voluntárias da União e/ou do Estado.</w:t>
      </w:r>
    </w:p>
    <w:p>
      <w:pPr>
        <w:pStyle w:val="Normal"/>
        <w:ind w:left="0" w:right="0" w:firstLine="709"/>
        <w:jc w:val="both"/>
        <w:rPr/>
      </w:pPr>
      <w:r>
        <w:rPr>
          <w:rFonts w:eastAsia="NSimSun" w:cs="Times New Roman"/>
          <w:color w:val="000000"/>
          <w:kern w:val="2"/>
          <w:sz w:val="24"/>
          <w:szCs w:val="24"/>
          <w:shd w:fill="FFFFFF" w:val="clear"/>
          <w:lang w:bidi="hi-IN"/>
        </w:rPr>
        <w:t>IV - as emendas que reduzirem em mais de 5% (cinco por cento) do montante destinado para despesas de conservação do patrimônio público e para os projetos arrolados no Anexo IV desta Lei.</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do disposto no art. 166, § 8</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Constituição Federal, serão levados à reserva de contingência os recursos que, em decorrência de veto, emenda ou rejeição do projeto da Lei Orçamentária Anual, ficarem sem despesas correspondentes.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Subseção II - Do Regime de Aprovação e Execução das Emendas Individuais e de Bancada</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Art. 33. Sem prejuízo do disposto na Constituição Federal e na Lei Orgânica do Município, o regime de aprovação e execução das emendas individuais e de bancada ao projeto de lei orçamentária atenderá ao disposto nesta subseção.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34. É obrigatória a execução orçamentária e financeira, de forma equitativa, das programações decorrentes de emendas individuais e de bancada, aprovadas ao projeto de lei orçamentária, observado, na execução, o disposto nos §§ 11 e 12 do art. 166 da Constituição.</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Considera-se equitativa a execução das programações de caráter obrigatório que observe critérios objetivos e imparciais e que atenda de forma igualitária e impessoal às emendas apresentadas, independentemente da autoria.</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Ressalvada a ocorrência de impedimentos cujo prazo para superação inviabilize o reconhecimento da despesa até o final do exercício financeiro, entende-se por:</w:t>
      </w:r>
    </w:p>
    <w:p>
      <w:pPr>
        <w:pStyle w:val="Normal"/>
        <w:ind w:left="0" w:right="0" w:firstLine="709"/>
        <w:jc w:val="both"/>
        <w:rPr/>
      </w:pPr>
      <w:r>
        <w:rPr>
          <w:rFonts w:eastAsia="NSimSun" w:cs="Times New Roman"/>
          <w:color w:val="000000"/>
          <w:kern w:val="2"/>
          <w:sz w:val="24"/>
          <w:szCs w:val="24"/>
          <w:shd w:fill="FFFFFF" w:val="clear"/>
          <w:lang w:bidi="hi-IN"/>
        </w:rPr>
        <w:t>I - execução orçamentária: o empenho e a liquidação da despesa, inclusive a sua inscrição em restos a pagar;</w:t>
      </w:r>
    </w:p>
    <w:p>
      <w:pPr>
        <w:pStyle w:val="Normal"/>
        <w:ind w:left="0" w:right="0" w:firstLine="709"/>
        <w:jc w:val="both"/>
        <w:rPr/>
      </w:pPr>
      <w:r>
        <w:rPr>
          <w:rFonts w:eastAsia="NSimSun" w:cs="Times New Roman"/>
          <w:color w:val="000000"/>
          <w:kern w:val="2"/>
          <w:sz w:val="24"/>
          <w:szCs w:val="24"/>
          <w:shd w:fill="FFFFFF" w:val="clear"/>
          <w:lang w:bidi="hi-IN"/>
        </w:rPr>
        <w:t>II - execução financeira: o pagamento da despesa, inclusive dos restos a pagar que deverá corresponder, no mínimo, à metade do montante total das programações das emendas individuais e de bancada.</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Na ocorrência de situação que determine a limitação de empenhos e movimentação financeira nos termos do art. 20 desta Lei, a execução orçamentária das programações orçamentárias das emendas poderá ser reduzida na mesma proporção.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35. Para fins de atendimento ao disposto nesta Subseção, constarão no Projeto de Lei Orçamentária as seguintes reservas de contingência:</w:t>
      </w:r>
    </w:p>
    <w:p>
      <w:pPr>
        <w:pStyle w:val="Normal"/>
        <w:ind w:left="0" w:right="0" w:firstLine="709"/>
        <w:jc w:val="both"/>
        <w:rPr/>
      </w:pPr>
      <w:r>
        <w:rPr>
          <w:rFonts w:eastAsia="NSimSun" w:cs="Times New Roman"/>
          <w:color w:val="000000"/>
          <w:kern w:val="2"/>
          <w:sz w:val="24"/>
          <w:szCs w:val="24"/>
          <w:shd w:fill="FFFFFF" w:val="clear"/>
          <w:lang w:bidi="hi-IN"/>
        </w:rPr>
        <w:t>I - de 2% (dois por cento) da receita corrente líquida arrecadada no exercício financeiro de 2023, sendo 1% (um por cento) de recursos livres e 1% (um por cento) de recursos vinculados às ações e serviços públicos de saúde, a qual deverá ser indicada como fonte de recursos para a aprovação das emendas individuais;</w:t>
      </w:r>
    </w:p>
    <w:p>
      <w:pPr>
        <w:pStyle w:val="Normal"/>
        <w:ind w:left="0" w:right="0" w:firstLine="709"/>
        <w:jc w:val="both"/>
        <w:rPr/>
      </w:pPr>
      <w:r>
        <w:rPr>
          <w:rFonts w:eastAsia="NSimSun" w:cs="Times New Roman"/>
          <w:color w:val="000000"/>
          <w:kern w:val="2"/>
          <w:sz w:val="24"/>
          <w:szCs w:val="24"/>
          <w:shd w:fill="FFFFFF" w:val="clear"/>
          <w:lang w:bidi="hi-IN"/>
        </w:rPr>
        <w:t>II - de 1% (um por cento) da receita corrente líquida reestimada para o exercício de 2024, constituída de recursos livres, a qual deverá ser indicada como fonte de recursos para a aprovação das emendas de bancada.</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de cálculo do valor da Receita Corrente Líquida referida nos incisos I e II do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considerar-se-á a metodologia estabelecida na Instrução Normativa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18/2023, do Tribunal de Contas do Estado ou a norma que lhe for superveniente. </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apresentação das emendas de que trata esta seção, o Legislativo observará o que segue:</w:t>
      </w:r>
    </w:p>
    <w:p>
      <w:pPr>
        <w:pStyle w:val="Normal"/>
        <w:ind w:left="0" w:right="0" w:firstLine="709"/>
        <w:jc w:val="both"/>
        <w:rPr/>
      </w:pPr>
      <w:r>
        <w:rPr>
          <w:rFonts w:eastAsia="NSimSun" w:cs="Times New Roman"/>
          <w:color w:val="000000"/>
          <w:kern w:val="2"/>
          <w:sz w:val="24"/>
          <w:szCs w:val="24"/>
          <w:shd w:fill="FFFFFF" w:val="clear"/>
          <w:lang w:bidi="hi-IN"/>
        </w:rPr>
        <w:t xml:space="preserve">I - no caso das emendas individuais, o valor total por autor será obtido a partir da divisão do montante estabelecido no inciso I do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pelo número de Vereadores com assento da Câmara Municipal;</w:t>
      </w:r>
    </w:p>
    <w:p>
      <w:pPr>
        <w:pStyle w:val="Normal"/>
        <w:ind w:left="0" w:right="0" w:firstLine="709"/>
        <w:jc w:val="both"/>
        <w:rPr/>
      </w:pPr>
      <w:r>
        <w:rPr>
          <w:rFonts w:eastAsia="NSimSun" w:cs="Times New Roman"/>
          <w:color w:val="000000"/>
          <w:kern w:val="2"/>
          <w:sz w:val="24"/>
          <w:szCs w:val="24"/>
          <w:shd w:fill="FFFFFF" w:val="clear"/>
          <w:lang w:bidi="hi-IN"/>
        </w:rPr>
        <w:t xml:space="preserve">II - para as emendas de bancada, o valor total a ser atribuído a cada uma será obtido a partir da divisão do montante estabelecido no inciso II do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pelo número de Vereadores com assento da Câmara Municipal, multiplicando-se o resultado obtido pelo número de representantes de cada bancada.</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É vedada qualquer forma de cessão ou transferência entre vereadores ou entre bancadas, dos limites de que tratam os incisos I e II do parágrafo anterior.</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Não será obrigatória a execução orçamentária e financeira das emendas individuais e de bancada que desatenderem os critérios estabelecidos nesta subseção, sendo os recursos correspondentes revertidos à reserva de contingência, os quais poderão ser utilizados pelo Poder Executivo para a abertura de créditos adicionais.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36. Para fins do disposto no §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Sem prejuízo de outros critérios e procedimentos adicionais que venham a ser estabelecidos em ato do Poder Executivo, são consideradas hipóteses de impedimentos de ordem técnica:</w:t>
      </w:r>
    </w:p>
    <w:p>
      <w:pPr>
        <w:pStyle w:val="Normal"/>
        <w:ind w:left="0" w:right="0" w:firstLine="709"/>
        <w:jc w:val="both"/>
        <w:rPr/>
      </w:pPr>
      <w:r>
        <w:rPr>
          <w:rFonts w:eastAsia="NSimSun" w:cs="Times New Roman"/>
          <w:color w:val="000000"/>
          <w:kern w:val="2"/>
          <w:sz w:val="24"/>
          <w:szCs w:val="24"/>
          <w:shd w:fill="FFFFFF" w:val="clear"/>
          <w:lang w:bidi="hi-IN"/>
        </w:rPr>
        <w:t>I - não indicação, pelo autor da emenda, quando for o caso, do beneficiário e respectivo valor;</w:t>
      </w:r>
    </w:p>
    <w:p>
      <w:pPr>
        <w:pStyle w:val="Normal"/>
        <w:ind w:left="0" w:right="0" w:firstLine="709"/>
        <w:jc w:val="both"/>
        <w:rPr/>
      </w:pPr>
      <w:r>
        <w:rPr>
          <w:rFonts w:eastAsia="NSimSun" w:cs="Times New Roman"/>
          <w:color w:val="000000"/>
          <w:kern w:val="2"/>
          <w:sz w:val="24"/>
          <w:szCs w:val="24"/>
          <w:shd w:fill="FFFFFF" w:val="clear"/>
          <w:lang w:bidi="hi-IN"/>
        </w:rPr>
        <w:t>II - no caso de emendas que proponham transferências de recursos sob a forma de subvenções, auxílios ou contribuições:</w:t>
      </w:r>
    </w:p>
    <w:p>
      <w:pPr>
        <w:pStyle w:val="Normal"/>
        <w:ind w:left="0" w:right="0" w:firstLine="709"/>
        <w:jc w:val="both"/>
        <w:rPr/>
      </w:pPr>
      <w:r>
        <w:rPr>
          <w:rFonts w:eastAsia="NSimSun" w:cs="Times New Roman"/>
          <w:color w:val="000000"/>
          <w:kern w:val="2"/>
          <w:sz w:val="24"/>
          <w:szCs w:val="24"/>
          <w:shd w:fill="FFFFFF" w:val="clear"/>
          <w:lang w:bidi="hi-IN"/>
        </w:rPr>
        <w:t>a) não cumprimento pela entidade beneficiária, dos requisitos estabelecidos na Seção VII do Capítulo IV desta Lei;</w:t>
      </w:r>
    </w:p>
    <w:p>
      <w:pPr>
        <w:pStyle w:val="Normal"/>
        <w:ind w:left="0" w:right="0" w:firstLine="709"/>
        <w:jc w:val="both"/>
        <w:rPr/>
      </w:pPr>
      <w:r>
        <w:rPr>
          <w:rFonts w:eastAsia="NSimSun" w:cs="Times New Roman"/>
          <w:color w:val="000000"/>
          <w:kern w:val="2"/>
          <w:sz w:val="24"/>
          <w:szCs w:val="24"/>
          <w:shd w:fill="FFFFFF" w:val="clear"/>
          <w:lang w:bidi="hi-IN"/>
        </w:rPr>
        <w:t>b) ausência de pertinência temática entre o objeto proposto e a finalidade institucional da entidade beneficiária;</w:t>
      </w:r>
    </w:p>
    <w:p>
      <w:pPr>
        <w:pStyle w:val="Normal"/>
        <w:ind w:left="0" w:right="0" w:firstLine="709"/>
        <w:jc w:val="both"/>
        <w:rPr/>
      </w:pPr>
      <w:r>
        <w:rPr>
          <w:rFonts w:eastAsia="NSimSun" w:cs="Times New Roman"/>
          <w:color w:val="000000"/>
          <w:kern w:val="2"/>
          <w:sz w:val="24"/>
          <w:szCs w:val="24"/>
          <w:shd w:fill="FFFFFF" w:val="clear"/>
          <w:lang w:bidi="hi-IN"/>
        </w:rPr>
        <w:t>c) não apresentação de proposta ou plano de trabalho ou apresentação fora dos prazos previstos em regulamento;</w:t>
      </w:r>
    </w:p>
    <w:p>
      <w:pPr>
        <w:pStyle w:val="Normal"/>
        <w:ind w:left="0" w:right="0" w:firstLine="709"/>
        <w:jc w:val="both"/>
        <w:rPr/>
      </w:pPr>
      <w:r>
        <w:rPr>
          <w:rFonts w:eastAsia="NSimSun" w:cs="Times New Roman"/>
          <w:color w:val="000000"/>
          <w:kern w:val="2"/>
          <w:sz w:val="24"/>
          <w:szCs w:val="24"/>
          <w:shd w:fill="FFFFFF" w:val="clear"/>
          <w:lang w:bidi="hi-IN"/>
        </w:rPr>
        <w:t>d) não realização de complementação ou ajustes solicitados em proposta ou plano de trabalho, bem como realização de complementação ou ajustes fora dos prazos previstos.</w:t>
      </w:r>
    </w:p>
    <w:p>
      <w:pPr>
        <w:pStyle w:val="Normal"/>
        <w:ind w:left="0" w:right="0" w:firstLine="709"/>
        <w:jc w:val="both"/>
        <w:rPr/>
      </w:pPr>
      <w:r>
        <w:rPr>
          <w:rFonts w:eastAsia="NSimSun" w:cs="Times New Roman"/>
          <w:color w:val="000000"/>
          <w:kern w:val="2"/>
          <w:sz w:val="24"/>
          <w:szCs w:val="24"/>
          <w:shd w:fill="FFFFFF" w:val="clear"/>
          <w:lang w:bidi="hi-IN"/>
        </w:rPr>
        <w:t>III - desistência expressa do beneficiário da emenda;</w:t>
      </w:r>
    </w:p>
    <w:p>
      <w:pPr>
        <w:pStyle w:val="Normal"/>
        <w:ind w:left="0" w:right="0" w:firstLine="709"/>
        <w:jc w:val="both"/>
        <w:rPr/>
      </w:pPr>
      <w:r>
        <w:rPr>
          <w:rFonts w:eastAsia="NSimSun" w:cs="Times New Roman"/>
          <w:color w:val="000000"/>
          <w:kern w:val="2"/>
          <w:sz w:val="24"/>
          <w:szCs w:val="24"/>
          <w:shd w:fill="FFFFFF" w:val="clear"/>
          <w:lang w:bidi="hi-IN"/>
        </w:rPr>
        <w:t>IV - incompatibilidade do objeto da emenda com a finalidade do programa ou da ação orçamentária emendada;</w:t>
      </w:r>
    </w:p>
    <w:p>
      <w:pPr>
        <w:pStyle w:val="Normal"/>
        <w:ind w:left="0" w:right="0" w:firstLine="709"/>
        <w:jc w:val="both"/>
        <w:rPr/>
      </w:pPr>
      <w:r>
        <w:rPr>
          <w:rFonts w:eastAsia="NSimSun" w:cs="Times New Roman"/>
          <w:color w:val="000000"/>
          <w:kern w:val="2"/>
          <w:sz w:val="24"/>
          <w:szCs w:val="24"/>
          <w:shd w:fill="FFFFFF" w:val="clear"/>
          <w:lang w:bidi="hi-IN"/>
        </w:rPr>
        <w:t>V - no caso de emendas relativas à aquisição de equipamentos ou execução de obras ou instalações:</w:t>
      </w:r>
    </w:p>
    <w:p>
      <w:pPr>
        <w:pStyle w:val="Normal"/>
        <w:ind w:left="0" w:right="0" w:firstLine="709"/>
        <w:jc w:val="both"/>
        <w:rPr/>
      </w:pPr>
      <w:r>
        <w:rPr>
          <w:rFonts w:eastAsia="NSimSun" w:cs="Times New Roman"/>
          <w:color w:val="000000"/>
          <w:kern w:val="2"/>
          <w:sz w:val="24"/>
          <w:szCs w:val="24"/>
          <w:shd w:fill="FFFFFF" w:val="clear"/>
          <w:lang w:bidi="hi-IN"/>
        </w:rPr>
        <w:t>a) incompatibilidade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pPr>
        <w:pStyle w:val="Normal"/>
        <w:ind w:left="0" w:right="0" w:firstLine="709"/>
        <w:jc w:val="both"/>
        <w:rPr/>
      </w:pPr>
      <w:r>
        <w:rPr>
          <w:rFonts w:eastAsia="NSimSun" w:cs="Times New Roman"/>
          <w:color w:val="000000"/>
          <w:kern w:val="2"/>
          <w:sz w:val="24"/>
          <w:szCs w:val="24"/>
          <w:shd w:fill="FFFFFF" w:val="clear"/>
          <w:lang w:bidi="hi-IN"/>
        </w:rPr>
        <w:t>b) inexistência de projeto de engenharia elaborado pela entidade beneficiária aprovado pela Secretaria responsável, ou, sem tempo hábil para a elaboração;</w:t>
      </w:r>
    </w:p>
    <w:p>
      <w:pPr>
        <w:pStyle w:val="Normal"/>
        <w:ind w:left="0" w:right="0" w:firstLine="709"/>
        <w:jc w:val="both"/>
        <w:rPr/>
      </w:pPr>
      <w:r>
        <w:rPr>
          <w:rFonts w:eastAsia="NSimSun" w:cs="Times New Roman"/>
          <w:color w:val="000000"/>
          <w:kern w:val="2"/>
          <w:sz w:val="24"/>
          <w:szCs w:val="24"/>
          <w:shd w:fill="FFFFFF" w:val="clear"/>
          <w:lang w:bidi="hi-IN"/>
        </w:rPr>
        <w:t>c) inviabilidade de elaboração e aprovação de projeto de engenharia para obras de execução direta por parte do Executivo;</w:t>
      </w:r>
    </w:p>
    <w:p>
      <w:pPr>
        <w:pStyle w:val="Normal"/>
        <w:ind w:left="0" w:right="0" w:firstLine="709"/>
        <w:jc w:val="both"/>
        <w:rPr/>
      </w:pPr>
      <w:r>
        <w:rPr>
          <w:rFonts w:eastAsia="NSimSun" w:cs="Times New Roman"/>
          <w:color w:val="000000"/>
          <w:kern w:val="2"/>
          <w:sz w:val="24"/>
          <w:szCs w:val="24"/>
          <w:shd w:fill="FFFFFF" w:val="clear"/>
          <w:lang w:bidi="hi-IN"/>
        </w:rPr>
        <w:t>d) ausência de projeto para emendas de obras de pequeno porte e/ou baixa complexidade não constituem impedimento de ordem técnica.</w:t>
      </w:r>
    </w:p>
    <w:p>
      <w:pPr>
        <w:pStyle w:val="Normal"/>
        <w:ind w:left="0" w:right="0" w:firstLine="709"/>
        <w:jc w:val="both"/>
        <w:rPr/>
      </w:pPr>
      <w:r>
        <w:rPr>
          <w:rFonts w:eastAsia="NSimSun" w:cs="Times New Roman"/>
          <w:color w:val="000000"/>
          <w:kern w:val="2"/>
          <w:sz w:val="24"/>
          <w:szCs w:val="24"/>
          <w:shd w:fill="FFFFFF" w:val="clear"/>
          <w:lang w:bidi="hi-IN"/>
        </w:rPr>
        <w:t>e) a ausência de licença ambiental prévia, nos casos em que for necessária;</w:t>
      </w:r>
    </w:p>
    <w:p>
      <w:pPr>
        <w:pStyle w:val="Normal"/>
        <w:ind w:left="0" w:right="0" w:firstLine="709"/>
        <w:jc w:val="both"/>
        <w:rPr/>
      </w:pPr>
      <w:r>
        <w:rPr>
          <w:rFonts w:eastAsia="NSimSun" w:cs="Times New Roman"/>
          <w:color w:val="000000"/>
          <w:kern w:val="2"/>
          <w:sz w:val="24"/>
          <w:szCs w:val="24"/>
          <w:shd w:fill="FFFFFF" w:val="clear"/>
          <w:lang w:bidi="hi-IN"/>
        </w:rPr>
        <w:t>f) não comprovação, por parte do órgão ou entidade beneficiada pela emenda, da capacidade de aportar recursos para manutenção e operação do empreendimento, após a sua conclusão</w:t>
      </w:r>
    </w:p>
    <w:p>
      <w:pPr>
        <w:pStyle w:val="Normal"/>
        <w:ind w:left="0" w:right="0" w:firstLine="709"/>
        <w:jc w:val="both"/>
        <w:rPr/>
      </w:pPr>
      <w:r>
        <w:rPr>
          <w:rFonts w:eastAsia="NSimSun" w:cs="Times New Roman"/>
          <w:color w:val="000000"/>
          <w:kern w:val="2"/>
          <w:sz w:val="24"/>
          <w:szCs w:val="24"/>
          <w:shd w:fill="FFFFFF" w:val="clear"/>
          <w:lang w:bidi="hi-IN"/>
        </w:rPr>
        <w:t>VI - a aprovação de emenda individual que conceda dotação para instalação ou funcionamento de serviço público que não esteja anteriormente criado por Lei, ou que implique criação de despesa obrigatória de caráter continuado, nos termos do art. 17,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VII - a não indicação das Reservas de Contingência referidas nos incisos I e II art. 35 desta Lei, como fonte de recursos para, respectivamente, atender as emendas individuais e de bancada;</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Não constitui impedimento de ordem técnica a classificação indevida de modalidade de aplicação e elemento de despesa, cabendo ao Poder Executivo realizar os ajustes necessários.</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efeitos desta lei, entende-se por obras de pequeno porte e/ou baixa complexidade:</w:t>
      </w:r>
    </w:p>
    <w:p>
      <w:pPr>
        <w:pStyle w:val="Normal"/>
        <w:ind w:left="0" w:right="0" w:firstLine="709"/>
        <w:jc w:val="both"/>
        <w:rPr/>
      </w:pPr>
      <w:r>
        <w:rPr>
          <w:rFonts w:eastAsia="NSimSun" w:cs="Times New Roman"/>
          <w:color w:val="000000"/>
          <w:kern w:val="2"/>
          <w:sz w:val="24"/>
          <w:szCs w:val="24"/>
          <w:shd w:fill="FFFFFF" w:val="clear"/>
          <w:lang w:bidi="hi-IN"/>
        </w:rPr>
        <w:t>I - pavimentação de vias públicas e projetos associados como medição, instalação de meios-fios, nivelamento e terraplanagem;</w:t>
      </w:r>
    </w:p>
    <w:p>
      <w:pPr>
        <w:pStyle w:val="Normal"/>
        <w:ind w:left="0" w:right="0" w:firstLine="709"/>
        <w:jc w:val="both"/>
        <w:rPr/>
      </w:pPr>
      <w:r>
        <w:rPr>
          <w:rFonts w:eastAsia="NSimSun" w:cs="Times New Roman"/>
          <w:color w:val="000000"/>
          <w:kern w:val="2"/>
          <w:sz w:val="24"/>
          <w:szCs w:val="24"/>
          <w:shd w:fill="FFFFFF" w:val="clear"/>
          <w:lang w:bidi="hi-IN"/>
        </w:rPr>
        <w:t>II - concretagem, medição, alinhamento e construção de passeios públicos, pistas de caminhada, corrida e/ou ciclismo:</w:t>
      </w:r>
    </w:p>
    <w:p>
      <w:pPr>
        <w:pStyle w:val="Normal"/>
        <w:ind w:left="0" w:right="0" w:firstLine="709"/>
        <w:jc w:val="both"/>
        <w:rPr/>
      </w:pPr>
      <w:r>
        <w:rPr>
          <w:rFonts w:eastAsia="NSimSun" w:cs="Times New Roman"/>
          <w:color w:val="000000"/>
          <w:kern w:val="2"/>
          <w:sz w:val="24"/>
          <w:szCs w:val="24"/>
          <w:shd w:fill="FFFFFF" w:val="clear"/>
          <w:lang w:bidi="hi-IN"/>
        </w:rPr>
        <w:t>III - implantação de infraestrutura de iluminação pública;</w:t>
      </w:r>
    </w:p>
    <w:p>
      <w:pPr>
        <w:pStyle w:val="Normal"/>
        <w:ind w:left="0" w:right="0" w:firstLine="709"/>
        <w:jc w:val="both"/>
        <w:rPr/>
      </w:pPr>
      <w:r>
        <w:rPr>
          <w:rFonts w:eastAsia="NSimSun" w:cs="Times New Roman"/>
          <w:color w:val="000000"/>
          <w:kern w:val="2"/>
          <w:sz w:val="24"/>
          <w:szCs w:val="24"/>
          <w:shd w:fill="FFFFFF" w:val="clear"/>
          <w:lang w:bidi="hi-IN"/>
        </w:rPr>
        <w:t>IV - instalações hidráulicas e elétricas diversas;</w:t>
      </w:r>
    </w:p>
    <w:p>
      <w:pPr>
        <w:pStyle w:val="Normal"/>
        <w:ind w:left="0" w:right="0" w:firstLine="709"/>
        <w:jc w:val="both"/>
        <w:rPr/>
      </w:pPr>
      <w:r>
        <w:rPr>
          <w:rFonts w:eastAsia="NSimSun" w:cs="Times New Roman"/>
          <w:color w:val="000000"/>
          <w:kern w:val="2"/>
          <w:sz w:val="24"/>
          <w:szCs w:val="24"/>
          <w:shd w:fill="FFFFFF" w:val="clear"/>
          <w:lang w:bidi="hi-IN"/>
        </w:rPr>
        <w:t>V - construção de paradas de ônibus e infraestrutura associada;</w:t>
      </w:r>
    </w:p>
    <w:p>
      <w:pPr>
        <w:pStyle w:val="Normal"/>
        <w:ind w:left="0" w:right="0" w:firstLine="709"/>
        <w:jc w:val="both"/>
        <w:rPr/>
      </w:pPr>
      <w:r>
        <w:rPr>
          <w:rFonts w:eastAsia="NSimSun" w:cs="Times New Roman"/>
          <w:color w:val="000000"/>
          <w:kern w:val="2"/>
          <w:sz w:val="24"/>
          <w:szCs w:val="24"/>
          <w:shd w:fill="FFFFFF" w:val="clear"/>
          <w:lang w:bidi="hi-IN"/>
        </w:rPr>
        <w:t>VI - construção de toldos, coberturas e afins;</w:t>
      </w:r>
    </w:p>
    <w:p>
      <w:pPr>
        <w:pStyle w:val="Normal"/>
        <w:ind w:left="0" w:right="0" w:firstLine="709"/>
        <w:jc w:val="both"/>
        <w:rPr/>
      </w:pPr>
      <w:r>
        <w:rPr>
          <w:rFonts w:eastAsia="NSimSun" w:cs="Times New Roman"/>
          <w:color w:val="000000"/>
          <w:kern w:val="2"/>
          <w:sz w:val="24"/>
          <w:szCs w:val="24"/>
          <w:shd w:fill="FFFFFF" w:val="clear"/>
          <w:lang w:bidi="hi-IN"/>
        </w:rPr>
        <w:t>VII - construção de faixas de segurança elevadas e infraestrutura associada.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37. No caso de impedimento de ordem técnica serão adotadas as seguintes medidas:</w:t>
      </w:r>
    </w:p>
    <w:p>
      <w:pPr>
        <w:pStyle w:val="Normal"/>
        <w:ind w:left="0" w:right="0" w:firstLine="709"/>
        <w:jc w:val="both"/>
        <w:rPr/>
      </w:pPr>
      <w:r>
        <w:rPr>
          <w:rFonts w:eastAsia="NSimSun" w:cs="Times New Roman"/>
          <w:color w:val="000000"/>
          <w:kern w:val="2"/>
          <w:sz w:val="24"/>
          <w:szCs w:val="24"/>
          <w:shd w:fill="FFFFFF" w:val="clear"/>
          <w:lang w:bidi="hi-IN"/>
        </w:rPr>
        <w:t>I - até cento e vinte dias após a publicação da lei orçamentária, o Poder Executivo, comunicará ao Poder Legislativo as justificativas de impedimento à execução das emendas individuais e/ou de bancadas;</w:t>
      </w:r>
    </w:p>
    <w:p>
      <w:pPr>
        <w:pStyle w:val="Normal"/>
        <w:ind w:left="0" w:right="0" w:firstLine="709"/>
        <w:jc w:val="both"/>
        <w:rPr/>
      </w:pPr>
      <w:r>
        <w:rPr>
          <w:rFonts w:eastAsia="NSimSun" w:cs="Times New Roman"/>
          <w:color w:val="000000"/>
          <w:kern w:val="2"/>
          <w:sz w:val="24"/>
          <w:szCs w:val="24"/>
          <w:shd w:fill="FFFFFF" w:val="clear"/>
          <w:lang w:bidi="hi-IN"/>
        </w:rPr>
        <w:t>II - em até trinta dias após o término do prazo previsto no inciso I ou após o encaminhamento da comunicação do impedimento de ordem técnica, o Poder Legislativo indicará ao Poder Executivo o remanejamento da programação cujo impedimento seja insuperável;</w:t>
      </w:r>
    </w:p>
    <w:p>
      <w:pPr>
        <w:pStyle w:val="Normal"/>
        <w:ind w:left="0" w:right="0" w:firstLine="709"/>
        <w:jc w:val="both"/>
        <w:rPr/>
      </w:pPr>
      <w:r>
        <w:rPr>
          <w:rFonts w:eastAsia="NSimSun" w:cs="Times New Roman"/>
          <w:color w:val="000000"/>
          <w:kern w:val="2"/>
          <w:sz w:val="24"/>
          <w:szCs w:val="24"/>
          <w:shd w:fill="FFFFFF" w:val="clear"/>
          <w:lang w:bidi="hi-IN"/>
        </w:rPr>
        <w:t>III – em até trinta dias após o término do prazo previsto no inciso II o Poder Executivo consolidará as indicações e, se necessário, iniciará processo legislativo dos créditos  adicionais para o atendimento;</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Após o término do prazo previsto no inciso II do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as emendas com impedimento técnico não remanejadas pelo Poder Legislativo, não serão de execução obrigatória podendo servir de fonte para abertura de créditos adicionais no exercício.</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Inexistindo impedimento de ordem técnica ou tão logo o óbice seja superado, os órgãos e as unidades deverão adotar os meios e as medidas necessários à execução das programações, observados os limites da programação orçamentária e financeira vigente.</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dotações orçamentárias relativas às emendas impositivas que permanecerem com impedimento técnico após 20 de novembro de 2025 poderão ser utilizadas pelo Poder Executivo como fonte de recursos para a abertura de créditos adicionais, na forma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 de 1964.</w:t>
      </w:r>
    </w:p>
    <w:p>
      <w:pPr>
        <w:pStyle w:val="Normal"/>
        <w:ind w:left="0" w:right="0" w:firstLine="709"/>
        <w:jc w:val="both"/>
        <w:rPr/>
      </w:pPr>
      <w:r>
        <w:rPr>
          <w:rFonts w:eastAsia="NSimSun" w:cs="Times New Roman"/>
          <w:color w:val="000000"/>
          <w:kern w:val="2"/>
          <w:sz w:val="24"/>
          <w:szCs w:val="24"/>
          <w:shd w:fill="FFFFFF" w:val="clear"/>
          <w:lang w:bidi="hi-IN"/>
        </w:rPr>
        <w:t>§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justificativas para a inexecução das programações orçamentárias das emendas individuais e de bancada comporão o relatório de avaliação das metas fiscais do último quadrimestre do exercício, a ser apresentado em audiência pública na forma do art. 25 desta Lei.</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38. No caso de emendas que tenham como beneficiárias organizações da sociedade civil, o Poder Executivo as notificará para que apresentem o plano de trabalho em até trinta dias contados da promulgação da lei orçamentária anual.</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Poder Executivo deve estabelecer prazo para que as entidades mencionadas neste artigo complementem a documentação ou procedam ajustes nos planos de trabalho.</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Oportunizados a complementação e ajustes de que trata o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deste artigo, o não atendimento aos requisitos das legislações, ou aos prazos, impedirá a formalização do termo ou convênio.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39.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p>
      <w:pPr>
        <w:pStyle w:val="Normal"/>
        <w:ind w:left="0" w:right="0" w:firstLine="709"/>
        <w:jc w:val="both"/>
        <w:rPr/>
      </w:pPr>
      <w:r>
        <w:rPr>
          <w:rFonts w:eastAsia="NSimSun" w:cs="Times New Roman"/>
          <w:color w:val="000000"/>
          <w:kern w:val="2"/>
          <w:sz w:val="24"/>
          <w:szCs w:val="24"/>
          <w:shd w:fill="FFFFFF" w:val="clear"/>
          <w:lang w:bidi="hi-IN"/>
        </w:rPr>
        <w:t xml:space="preserve">Parágrafo único. Os relatórios referidos no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deste artigo, deverão detalhar, no mínimo, a relação das emendas aprovadas, o autor, a classificação, a ação orçamentária, bem como os respectivos valores aprovados e executados.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VII - Da Destinação de Recursos Públicos a Pessoas Físicas e   Jurídicas</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Subseção I - Das Subvenções Econômicas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40.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Em atendimento ao disposto no art. 19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a destinação de recursos às entidades privadas com fins lucrativos de que trata o caput somente poderá ocorrer por meio de subvenções econômicas, sendo vedada a transferência a título de contribuições ou auxílios para despesas de capital.</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transferências a entidades privadas com fins lucrativos de que trata 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deste artigo, serão executadas na modalidade de aplicação 60 - Transferências a Instituições Privadas com fins lucrativos e no elemento de despesa 45 - Subvenções Econômicas.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41. No caso das pessoas físicas, a ajuda financeira referida art. 26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Subseção II - Das Subvenções Sociais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42. A transferência de recursos a título de subvenções sociais, nos termos dos arts. 12,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 16 e 17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atenderá às entidades privadas sem fins lucrativos que exerçam atividades de natureza continuada nas áreas de cultura, assistência social, saúde e educação.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Subseção III - Das Contribuições Correntes e de Capital</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43. A transferência de recursos a título de contribuição corrente somente será destinada a entidades sem fins lucrativos que preencham uma das seguintes condições:</w:t>
      </w:r>
    </w:p>
    <w:p>
      <w:pPr>
        <w:pStyle w:val="Normal"/>
        <w:ind w:left="0" w:right="0" w:firstLine="709"/>
        <w:jc w:val="both"/>
        <w:rPr/>
      </w:pPr>
      <w:r>
        <w:rPr>
          <w:rFonts w:eastAsia="NSimSun" w:cs="Times New Roman"/>
          <w:color w:val="000000"/>
          <w:kern w:val="2"/>
          <w:sz w:val="24"/>
          <w:szCs w:val="24"/>
          <w:shd w:fill="FFFFFF" w:val="clear"/>
          <w:lang w:bidi="hi-IN"/>
        </w:rPr>
        <w:t>I - estejam autorizadas em lei específica, que identifique expressamente a entidade beneficiária;</w:t>
      </w:r>
    </w:p>
    <w:p>
      <w:pPr>
        <w:pStyle w:val="Normal"/>
        <w:ind w:left="0" w:right="0" w:firstLine="709"/>
        <w:jc w:val="both"/>
        <w:rPr/>
      </w:pPr>
      <w:r>
        <w:rPr>
          <w:rFonts w:eastAsia="NSimSun" w:cs="Times New Roman"/>
          <w:color w:val="000000"/>
          <w:kern w:val="2"/>
          <w:sz w:val="24"/>
          <w:szCs w:val="24"/>
          <w:shd w:fill="FFFFFF" w:val="clear"/>
          <w:lang w:bidi="hi-IN"/>
        </w:rPr>
        <w:t>II - estejam nominalmente identificadas na Lei Orçamentária; ou</w:t>
      </w:r>
    </w:p>
    <w:p>
      <w:pPr>
        <w:pStyle w:val="Normal"/>
        <w:ind w:left="0" w:right="0" w:firstLine="709"/>
        <w:jc w:val="both"/>
        <w:rPr/>
      </w:pPr>
      <w:r>
        <w:rPr>
          <w:rFonts w:eastAsia="NSimSun" w:cs="Times New Roman"/>
          <w:color w:val="000000"/>
          <w:kern w:val="2"/>
          <w:sz w:val="24"/>
          <w:szCs w:val="24"/>
          <w:shd w:fill="FFFFFF" w:val="clear"/>
          <w:lang w:bidi="hi-IN"/>
        </w:rPr>
        <w:t>III - sejam selecionadas para execução, em parceria com a Administração Pública Municipal, de atividades ou projetos que contribuam diretamente para o alcance de diretrizes, objetivos e metas previstas no Plano Plurianual.</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44. A alocação de recursos para entidades privadas sem fins lucrativos, a título de contribuições de capital, fica condicionada à autorização em lei especial anterior de que trata o art. 12, §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Subseção IV - Dos Auxílios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45. A transferência de recursos a título de auxílios, previstos no art. 12, §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que dependa da abertura de crédito adicional especial ou extraordinário, somente poderá ser realizada para entidades privadas sem fins lucrativos que sejam:</w:t>
      </w:r>
    </w:p>
    <w:p>
      <w:pPr>
        <w:pStyle w:val="Normal"/>
        <w:ind w:left="0" w:right="0" w:firstLine="709"/>
        <w:jc w:val="both"/>
        <w:rPr/>
      </w:pPr>
      <w:r>
        <w:rPr>
          <w:rFonts w:eastAsia="NSimSun" w:cs="Times New Roman"/>
          <w:color w:val="000000"/>
          <w:kern w:val="2"/>
          <w:sz w:val="24"/>
          <w:szCs w:val="24"/>
          <w:shd w:fill="FFFFFF" w:val="clear"/>
          <w:lang w:bidi="hi-IN"/>
        </w:rPr>
        <w:t>I - de atendimento direto e gratuito ao público e voltadas para a educação básica ou educação especial;</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II - para o desenvolvimento de programas voltados a manutenção e preservação do Meio Ambiente;</w:t>
      </w:r>
    </w:p>
    <w:p>
      <w:pPr>
        <w:pStyle w:val="Normal"/>
        <w:ind w:left="0" w:right="0" w:firstLine="709"/>
        <w:jc w:val="both"/>
        <w:rPr/>
      </w:pPr>
      <w:r>
        <w:rPr>
          <w:rFonts w:eastAsia="NSimSun" w:cs="Times New Roman"/>
          <w:color w:val="000000"/>
          <w:kern w:val="2"/>
          <w:sz w:val="24"/>
          <w:szCs w:val="24"/>
          <w:shd w:fill="FFFFFF" w:val="clear"/>
          <w:lang w:bidi="hi-IN"/>
        </w:rPr>
        <w:t>III - voltadas a ações de saúde e de atendimento direto e gratuito ao público, prestadas por entidades sem fins lucrativos que sejam certificadas como entidades beneficentes de assistência social na área de saúde;</w:t>
      </w:r>
    </w:p>
    <w:p>
      <w:pPr>
        <w:pStyle w:val="Normal"/>
        <w:ind w:left="0" w:right="0" w:firstLine="709"/>
        <w:jc w:val="both"/>
        <w:rPr/>
      </w:pPr>
      <w:r>
        <w:rPr>
          <w:rFonts w:eastAsia="NSimSun" w:cs="Times New Roman"/>
          <w:color w:val="000000"/>
          <w:kern w:val="2"/>
          <w:sz w:val="24"/>
          <w:szCs w:val="24"/>
          <w:shd w:fill="FFFFFF" w:val="clear"/>
          <w:lang w:bidi="hi-IN"/>
        </w:rPr>
        <w:t>IV - qualificadas como Organização da Sociedade Civil de Interesse Público - OSCIP, com termo de parceria firmada com o Poder Público Municipal, de acordo com 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9.790/1999, e que participem da execução de programas constantes no plano plurianual, devendo a destinação de recursos guardar conformidade com os objetivos sociais da entidade;</w:t>
      </w:r>
    </w:p>
    <w:p>
      <w:pPr>
        <w:pStyle w:val="Normal"/>
        <w:ind w:left="0" w:right="0" w:firstLine="709"/>
        <w:jc w:val="both"/>
        <w:rPr/>
      </w:pPr>
      <w:r>
        <w:rPr>
          <w:rFonts w:eastAsia="NSimSun" w:cs="Times New Roman"/>
          <w:color w:val="000000"/>
          <w:kern w:val="2"/>
          <w:sz w:val="24"/>
          <w:szCs w:val="24"/>
          <w:shd w:fill="FFFFFF" w:val="clear"/>
          <w:lang w:bidi="hi-IN"/>
        </w:rPr>
        <w:t>V - qualificadas para o desenvolvimento de atividades esportivas que contribuam para a formação e capacitação de atletas;</w:t>
      </w:r>
    </w:p>
    <w:p>
      <w:pPr>
        <w:pStyle w:val="Normal"/>
        <w:ind w:left="0" w:right="0" w:firstLine="709"/>
        <w:jc w:val="both"/>
        <w:rPr/>
      </w:pPr>
      <w:r>
        <w:rPr>
          <w:rFonts w:eastAsia="NSimSun" w:cs="Times New Roman"/>
          <w:color w:val="000000"/>
          <w:kern w:val="2"/>
          <w:sz w:val="24"/>
          <w:szCs w:val="24"/>
          <w:shd w:fill="FFFFFF" w:val="clear"/>
          <w:lang w:bidi="hi-IN"/>
        </w:rPr>
        <w:t>VI – se destinam a atender, assegurar e a promover o exercício dos direitos e das liberdades fundamentais por pessoa com deficiência, visando à sua habilitação, reabilitação e integração social e cidadania, nos termos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13.146/2015;</w:t>
      </w:r>
    </w:p>
    <w:p>
      <w:pPr>
        <w:pStyle w:val="Normal"/>
        <w:ind w:left="0" w:right="0" w:firstLine="709"/>
        <w:jc w:val="both"/>
        <w:rPr/>
      </w:pPr>
      <w:r>
        <w:rPr>
          <w:rFonts w:eastAsia="NSimSun" w:cs="Times New Roman"/>
          <w:color w:val="000000"/>
          <w:kern w:val="2"/>
          <w:sz w:val="24"/>
          <w:szCs w:val="24"/>
          <w:shd w:fill="FFFFFF" w:val="clear"/>
          <w:lang w:bidi="hi-IN"/>
        </w:rPr>
        <w:t>VII – que desenvolvam atividades de coleta e processamento de material reciclável, e sejam constituídas sob a forma de associações ou cooperativas integradas por pessoas em situação de risco social, hipótese em que caberá ao Poder Executivo aprovar as condições para aplicação dos recursos;</w:t>
      </w:r>
    </w:p>
    <w:p>
      <w:pPr>
        <w:pStyle w:val="Normal"/>
        <w:ind w:left="0" w:right="0" w:firstLine="709"/>
        <w:jc w:val="both"/>
        <w:rPr/>
      </w:pPr>
      <w:r>
        <w:rPr>
          <w:rFonts w:eastAsia="NSimSun" w:cs="Times New Roman"/>
          <w:color w:val="000000"/>
          <w:kern w:val="2"/>
          <w:sz w:val="24"/>
          <w:szCs w:val="24"/>
          <w:shd w:fill="FFFFFF" w:val="clear"/>
          <w:lang w:bidi="hi-IN"/>
        </w:rPr>
        <w:t>VIII - voltadas ao atendimento direto e gratuito ao público na área de assistência social que:</w:t>
      </w:r>
    </w:p>
    <w:p>
      <w:pPr>
        <w:pStyle w:val="Normal"/>
        <w:ind w:left="0" w:right="0" w:firstLine="709"/>
        <w:jc w:val="both"/>
        <w:rPr/>
      </w:pPr>
      <w:r>
        <w:rPr>
          <w:rFonts w:eastAsia="NSimSun" w:cs="Times New Roman"/>
          <w:color w:val="000000"/>
          <w:kern w:val="2"/>
          <w:sz w:val="24"/>
          <w:szCs w:val="24"/>
          <w:shd w:fill="FFFFFF" w:val="clear"/>
          <w:lang w:bidi="hi-IN"/>
        </w:rPr>
        <w:t>a) se destinem a pessoas idosas, crianças e adolescentes em situação de vulnerabilidade social, risco pessoal e social;</w:t>
      </w:r>
    </w:p>
    <w:p>
      <w:pPr>
        <w:pStyle w:val="Normal"/>
        <w:ind w:left="0" w:right="0" w:firstLine="709"/>
        <w:jc w:val="both"/>
        <w:rPr/>
      </w:pPr>
      <w:r>
        <w:rPr>
          <w:rFonts w:eastAsia="NSimSun" w:cs="Times New Roman"/>
          <w:color w:val="000000"/>
          <w:kern w:val="2"/>
          <w:sz w:val="24"/>
          <w:szCs w:val="24"/>
          <w:shd w:fill="FFFFFF" w:val="clear"/>
          <w:lang w:bidi="hi-IN"/>
        </w:rPr>
        <w:t>b) sejam voltadas ao atendimento de pessoas em situação de vulnerabilidade social, violação de direito ou diretamente alcançadas por programas e ações de combate à pobreza e geração de trabalho e renda;</w:t>
      </w:r>
    </w:p>
    <w:p>
      <w:pPr>
        <w:pStyle w:val="Normal"/>
        <w:ind w:left="0" w:right="0" w:firstLine="709"/>
        <w:jc w:val="both"/>
        <w:rPr/>
      </w:pPr>
      <w:r>
        <w:rPr>
          <w:rFonts w:eastAsia="NSimSun" w:cs="Times New Roman"/>
          <w:color w:val="000000"/>
          <w:kern w:val="2"/>
          <w:sz w:val="24"/>
          <w:szCs w:val="24"/>
          <w:shd w:fill="FFFFFF" w:val="clear"/>
          <w:lang w:bidi="hi-IN"/>
        </w:rPr>
        <w:t>Parágrafo único. No caso do inciso I, a transferência de recursos públicos deve ser obrigatoriamente justificada e vinculada ao plano de expansão da oferta pública na respectiva etapa e modalidade de educação.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Subseção V - Das Disposições Gerais para Destinação de Recursos Públicos para Pessoas Físicas e Jurídicas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46. Sem prejuízo das demais disposições contidas nesta seção, a transferência de recursos prevista na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4.320/1964, a entidade privada sem fins lucrativos, dependerá ainda de:</w:t>
      </w:r>
    </w:p>
    <w:p>
      <w:pPr>
        <w:pStyle w:val="Normal"/>
        <w:ind w:left="0" w:right="0" w:firstLine="709"/>
        <w:jc w:val="both"/>
        <w:rPr/>
      </w:pPr>
      <w:r>
        <w:rPr>
          <w:rFonts w:eastAsia="NSimSun" w:cs="Times New Roman"/>
          <w:color w:val="000000"/>
          <w:kern w:val="2"/>
          <w:sz w:val="24"/>
          <w:szCs w:val="24"/>
          <w:shd w:fill="FFFFFF" w:val="clear"/>
          <w:lang w:bidi="hi-IN"/>
        </w:rPr>
        <w:t>I - execução da despesa na modalidade de aplicação 50 - Transferências a Instituições Privadas sem fins lucrativos;</w:t>
      </w:r>
    </w:p>
    <w:p>
      <w:pPr>
        <w:pStyle w:val="Normal"/>
        <w:ind w:left="0" w:right="0" w:firstLine="709"/>
        <w:jc w:val="both"/>
        <w:rPr/>
      </w:pPr>
      <w:r>
        <w:rPr>
          <w:rFonts w:eastAsia="NSimSun" w:cs="Times New Roman"/>
          <w:color w:val="000000"/>
          <w:kern w:val="2"/>
          <w:sz w:val="24"/>
          <w:szCs w:val="24"/>
          <w:shd w:fill="FFFFFF" w:val="clear"/>
          <w:lang w:bidi="hi-IN"/>
        </w:rPr>
        <w:t>II - estar regularmente constituída, assim considerado:</w:t>
      </w:r>
    </w:p>
    <w:p>
      <w:pPr>
        <w:pStyle w:val="Normal"/>
        <w:ind w:left="0" w:right="0" w:firstLine="709"/>
        <w:jc w:val="both"/>
        <w:rPr/>
      </w:pPr>
      <w:r>
        <w:rPr>
          <w:rFonts w:eastAsia="NSimSun" w:cs="Times New Roman"/>
          <w:color w:val="000000"/>
          <w:kern w:val="2"/>
          <w:sz w:val="24"/>
          <w:szCs w:val="24"/>
          <w:shd w:fill="FFFFFF" w:val="clear"/>
          <w:lang w:bidi="hi-IN"/>
        </w:rPr>
        <w:t>a) no mínimo 05 (cinco)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pPr>
        <w:pStyle w:val="Normal"/>
        <w:ind w:left="0" w:right="0" w:firstLine="709"/>
        <w:jc w:val="both"/>
        <w:rPr/>
      </w:pPr>
      <w:r>
        <w:rPr>
          <w:rFonts w:eastAsia="NSimSun" w:cs="Times New Roman"/>
          <w:color w:val="000000"/>
          <w:kern w:val="2"/>
          <w:sz w:val="24"/>
          <w:szCs w:val="24"/>
          <w:shd w:fill="FFFFFF" w:val="clear"/>
          <w:lang w:bidi="hi-IN"/>
        </w:rPr>
        <w:t>b) tenha escrituração de acordo com os princípios fundamentais de contabilidade e com as Normas Brasileiras de Contabilidade;</w:t>
      </w:r>
    </w:p>
    <w:p>
      <w:pPr>
        <w:pStyle w:val="Normal"/>
        <w:ind w:left="0" w:right="0" w:firstLine="709"/>
        <w:jc w:val="both"/>
        <w:rPr/>
      </w:pPr>
      <w:r>
        <w:rPr>
          <w:rFonts w:eastAsia="NSimSun" w:cs="Times New Roman"/>
          <w:color w:val="000000"/>
          <w:kern w:val="2"/>
          <w:sz w:val="24"/>
          <w:szCs w:val="24"/>
          <w:shd w:fill="FFFFFF" w:val="clear"/>
          <w:lang w:bidi="hi-IN"/>
        </w:rPr>
        <w:t>III - ter apresentado as prestações de contas de recursos anteriormente recebidos, nos prazos e condições fixados na legislação e no convênio ou termo de parceria, contrato ou instrumento congênere celebrados;</w:t>
      </w:r>
    </w:p>
    <w:p>
      <w:pPr>
        <w:pStyle w:val="Normal"/>
        <w:ind w:left="0" w:right="0" w:firstLine="709"/>
        <w:jc w:val="both"/>
        <w:rPr/>
      </w:pPr>
      <w:r>
        <w:rPr>
          <w:rFonts w:eastAsia="NSimSun" w:cs="Times New Roman"/>
          <w:color w:val="000000"/>
          <w:kern w:val="2"/>
          <w:sz w:val="24"/>
          <w:szCs w:val="24"/>
          <w:shd w:fill="FFFFFF" w:val="clear"/>
          <w:lang w:bidi="hi-IN"/>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pPr>
        <w:pStyle w:val="Normal"/>
        <w:ind w:left="0" w:right="0" w:firstLine="709"/>
        <w:jc w:val="both"/>
        <w:rPr/>
      </w:pPr>
      <w:r>
        <w:rPr>
          <w:rFonts w:eastAsia="NSimSun" w:cs="Times New Roman"/>
          <w:color w:val="000000"/>
          <w:kern w:val="2"/>
          <w:sz w:val="24"/>
          <w:szCs w:val="24"/>
          <w:shd w:fill="FFFFFF" w:val="clear"/>
          <w:lang w:bidi="hi-IN"/>
        </w:rPr>
        <w:t>V - não ter como dirigente pessoa que:</w:t>
      </w:r>
    </w:p>
    <w:p>
      <w:pPr>
        <w:pStyle w:val="Normal"/>
        <w:ind w:left="0" w:right="0" w:firstLine="709"/>
        <w:jc w:val="both"/>
        <w:rPr/>
      </w:pPr>
      <w:r>
        <w:rPr>
          <w:rFonts w:eastAsia="NSimSun" w:cs="Times New Roman"/>
          <w:color w:val="000000"/>
          <w:kern w:val="2"/>
          <w:sz w:val="24"/>
          <w:szCs w:val="24"/>
          <w:shd w:fill="FFFFFF" w:val="clear"/>
          <w:lang w:bidi="hi-IN"/>
        </w:rPr>
        <w:t>a) seja membro de Poder, órgão ou entidade da Administração Pública Municipal, estendendo-se a vedação aos respectivos cônjuges ou companheiros, bem como parentes em linha reta, colateral ou por afinidade, até o segundo grau;</w:t>
      </w:r>
    </w:p>
    <w:p>
      <w:pPr>
        <w:pStyle w:val="Normal"/>
        <w:ind w:left="0" w:right="0" w:firstLine="709"/>
        <w:jc w:val="both"/>
        <w:rPr/>
      </w:pPr>
      <w:r>
        <w:rPr>
          <w:rFonts w:eastAsia="NSimSun" w:cs="Times New Roman"/>
          <w:color w:val="000000"/>
          <w:kern w:val="2"/>
          <w:sz w:val="24"/>
          <w:szCs w:val="24"/>
          <w:shd w:fill="FFFFFF" w:val="clear"/>
          <w:lang w:bidi="hi-IN"/>
        </w:rPr>
        <w:t>b) incida em quaisquer das hipóteses de inelegibilidade previstas no art.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 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64, de 18 de maio de 1990;</w:t>
      </w:r>
    </w:p>
    <w:p>
      <w:pPr>
        <w:pStyle w:val="Normal"/>
        <w:ind w:left="0" w:right="0" w:firstLine="709"/>
        <w:jc w:val="both"/>
        <w:rPr/>
      </w:pPr>
      <w:r>
        <w:rPr>
          <w:rFonts w:eastAsia="NSimSun" w:cs="Times New Roman"/>
          <w:color w:val="000000"/>
          <w:kern w:val="2"/>
          <w:sz w:val="24"/>
          <w:szCs w:val="24"/>
          <w:shd w:fill="FFFFFF" w:val="clear"/>
          <w:lang w:bidi="hi-IN"/>
        </w:rPr>
        <w:t>c) cujas contas relativas a convênios, termos de parcerias, contratos ou instrumentos congêneres tenham sido julgadas irregulares ou rejeitadas por Tribunal ou Conselho de Contas de qualquer esfera da Federação, em decisão irrecorrível, nos últimos 8 (oito) anos;</w:t>
      </w:r>
    </w:p>
    <w:p>
      <w:pPr>
        <w:pStyle w:val="Normal"/>
        <w:ind w:left="0" w:right="0" w:firstLine="709"/>
        <w:jc w:val="both"/>
        <w:rPr/>
      </w:pPr>
      <w:r>
        <w:rPr>
          <w:rFonts w:eastAsia="NSimSun" w:cs="Times New Roman"/>
          <w:color w:val="000000"/>
          <w:kern w:val="2"/>
          <w:sz w:val="24"/>
          <w:szCs w:val="24"/>
          <w:shd w:fill="FFFFFF" w:val="clear"/>
          <w:lang w:bidi="hi-IN"/>
        </w:rPr>
        <w:t>d) tenha sido julgada responsável por falta grave e inabilitada para o exercício de cargo em comissão ou função de confiança, enquanto durar a inabilitação;</w:t>
      </w:r>
    </w:p>
    <w:p>
      <w:pPr>
        <w:pStyle w:val="Normal"/>
        <w:ind w:left="0" w:right="0" w:firstLine="709"/>
        <w:jc w:val="both"/>
        <w:rPr/>
      </w:pPr>
      <w:r>
        <w:rPr>
          <w:rFonts w:eastAsia="NSimSun" w:cs="Times New Roman"/>
          <w:color w:val="000000"/>
          <w:kern w:val="2"/>
          <w:sz w:val="24"/>
          <w:szCs w:val="24"/>
          <w:shd w:fill="FFFFFF" w:val="clear"/>
          <w:lang w:bidi="hi-IN"/>
        </w:rPr>
        <w:t>e) tenha sido considerada responsável por ato de improbidade, enquanto durarem os prazos estabelecidos nos incisos I, II e III do art. 12 da Lei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8.429, de 2 de junho de 1992.</w:t>
      </w:r>
    </w:p>
    <w:p>
      <w:pPr>
        <w:pStyle w:val="Normal"/>
        <w:ind w:left="0" w:right="0" w:firstLine="709"/>
        <w:jc w:val="both"/>
        <w:rPr/>
      </w:pPr>
      <w:r>
        <w:rPr>
          <w:rFonts w:eastAsia="NSimSun" w:cs="Times New Roman"/>
          <w:color w:val="000000"/>
          <w:kern w:val="2"/>
          <w:sz w:val="24"/>
          <w:szCs w:val="24"/>
          <w:shd w:fill="FFFFFF" w:val="clear"/>
          <w:lang w:bidi="hi-IN"/>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pPr>
        <w:pStyle w:val="Normal"/>
        <w:ind w:left="0" w:right="0" w:firstLine="709"/>
        <w:jc w:val="both"/>
        <w:rPr/>
      </w:pPr>
      <w:r>
        <w:rPr>
          <w:rFonts w:eastAsia="NSimSun" w:cs="Times New Roman"/>
          <w:color w:val="000000"/>
          <w:kern w:val="2"/>
          <w:sz w:val="24"/>
          <w:szCs w:val="24"/>
          <w:shd w:fill="FFFFFF" w:val="clear"/>
          <w:lang w:bidi="hi-IN"/>
        </w:rPr>
        <w:t>Parágrafo único. Caberá ao órgão municipal ordenador de despesa verificar e declarar a implementação das condições previstas neste artigo e demais requisitos estabelecidos nesta seção, comunicando à Unidade Central de Controle Interno eventuais irregularidades verificadas.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47.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48.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pPr>
        <w:pStyle w:val="Normal"/>
        <w:ind w:left="0" w:right="0" w:firstLine="709"/>
        <w:jc w:val="both"/>
        <w:rPr/>
      </w:pPr>
      <w:r>
        <w:rPr>
          <w:rFonts w:eastAsia="NSimSun" w:cs="Times New Roman"/>
          <w:color w:val="000000"/>
          <w:kern w:val="2"/>
          <w:sz w:val="24"/>
          <w:szCs w:val="24"/>
          <w:shd w:fill="FFFFFF" w:val="clear"/>
          <w:lang w:bidi="hi-IN"/>
        </w:rPr>
        <w:t>I - nome e CNPJ da entidade;</w:t>
      </w:r>
    </w:p>
    <w:p>
      <w:pPr>
        <w:pStyle w:val="Normal"/>
        <w:ind w:left="0" w:right="0" w:firstLine="709"/>
        <w:jc w:val="both"/>
        <w:rPr/>
      </w:pPr>
      <w:r>
        <w:rPr>
          <w:rFonts w:eastAsia="NSimSun" w:cs="Times New Roman"/>
          <w:color w:val="000000"/>
          <w:kern w:val="2"/>
          <w:sz w:val="24"/>
          <w:szCs w:val="24"/>
          <w:shd w:fill="FFFFFF" w:val="clear"/>
          <w:lang w:bidi="hi-IN"/>
        </w:rPr>
        <w:t>II - nome, função e CPF dos dirigentes;</w:t>
      </w:r>
    </w:p>
    <w:p>
      <w:pPr>
        <w:pStyle w:val="Normal"/>
        <w:ind w:left="0" w:right="0" w:firstLine="709"/>
        <w:jc w:val="both"/>
        <w:rPr/>
      </w:pPr>
      <w:r>
        <w:rPr>
          <w:rFonts w:eastAsia="NSimSun" w:cs="Times New Roman"/>
          <w:color w:val="000000"/>
          <w:kern w:val="2"/>
          <w:sz w:val="24"/>
          <w:szCs w:val="24"/>
          <w:shd w:fill="FFFFFF" w:val="clear"/>
          <w:lang w:bidi="hi-IN"/>
        </w:rPr>
        <w:t>III - área de atuação;</w:t>
      </w:r>
    </w:p>
    <w:p>
      <w:pPr>
        <w:pStyle w:val="Normal"/>
        <w:ind w:left="0" w:right="0" w:firstLine="709"/>
        <w:jc w:val="both"/>
        <w:rPr/>
      </w:pPr>
      <w:r>
        <w:rPr>
          <w:rFonts w:eastAsia="NSimSun" w:cs="Times New Roman"/>
          <w:color w:val="000000"/>
          <w:kern w:val="2"/>
          <w:sz w:val="24"/>
          <w:szCs w:val="24"/>
          <w:shd w:fill="FFFFFF" w:val="clear"/>
          <w:lang w:bidi="hi-IN"/>
        </w:rPr>
        <w:t>IV - endereço da sede;</w:t>
      </w:r>
    </w:p>
    <w:p>
      <w:pPr>
        <w:pStyle w:val="Normal"/>
        <w:ind w:left="0" w:right="0" w:firstLine="709"/>
        <w:jc w:val="both"/>
        <w:rPr/>
      </w:pPr>
      <w:r>
        <w:rPr>
          <w:rFonts w:eastAsia="NSimSun" w:cs="Times New Roman"/>
          <w:color w:val="000000"/>
          <w:kern w:val="2"/>
          <w:sz w:val="24"/>
          <w:szCs w:val="24"/>
          <w:shd w:fill="FFFFFF" w:val="clear"/>
          <w:lang w:bidi="hi-IN"/>
        </w:rPr>
        <w:t>V - data, objeto, valor e número do convênio, termo de parceria, contrato ou instrumento congênere;</w:t>
      </w:r>
    </w:p>
    <w:p>
      <w:pPr>
        <w:pStyle w:val="Normal"/>
        <w:ind w:left="0" w:right="0" w:firstLine="709"/>
        <w:jc w:val="both"/>
        <w:rPr/>
      </w:pPr>
      <w:r>
        <w:rPr>
          <w:rFonts w:eastAsia="NSimSun" w:cs="Times New Roman"/>
          <w:color w:val="000000"/>
          <w:kern w:val="2"/>
          <w:sz w:val="24"/>
          <w:szCs w:val="24"/>
          <w:shd w:fill="FFFFFF" w:val="clear"/>
          <w:lang w:bidi="hi-IN"/>
        </w:rPr>
        <w:t>VI - valores transferidos e respectivas datas.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Sem prejuízo do parágrafo anterior, no caso das parcerias celebradas com base nas disposições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13.019/2014, deverão ser observadas, no que couber, as disposições dos arts. 10, 11 e 12 da referida Lei. </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49. A notas de empenho das transferências de recursos de que trata esta Seção deverá serão emitidas até a data da assinatura do respectivo convênio, termo de parceria, ajuste ou instrumento congênere, observado o princípio da competência da despesa, nos termos do art. 50, inciso II,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50. Toda movimentação de recursos relativos às subvenções, contribuições e auxílios de que trata esta Seção, por parte das entidades beneficiárias, somente será realizada observando-se os seguintes preceitos:</w:t>
      </w:r>
    </w:p>
    <w:p>
      <w:pPr>
        <w:pStyle w:val="Normal"/>
        <w:ind w:left="0" w:right="0" w:firstLine="709"/>
        <w:jc w:val="both"/>
        <w:rPr/>
      </w:pPr>
      <w:r>
        <w:rPr>
          <w:rFonts w:eastAsia="NSimSun" w:cs="Times New Roman"/>
          <w:color w:val="000000"/>
          <w:kern w:val="2"/>
          <w:sz w:val="24"/>
          <w:szCs w:val="24"/>
          <w:shd w:fill="FFFFFF" w:val="clear"/>
          <w:lang w:bidi="hi-IN"/>
        </w:rPr>
        <w:t>I - depósito e movimentação em conta bancária específica para cada instrumento de transferência;</w:t>
      </w:r>
    </w:p>
    <w:p>
      <w:pPr>
        <w:pStyle w:val="Normal"/>
        <w:ind w:left="0" w:right="0" w:firstLine="709"/>
        <w:jc w:val="both"/>
        <w:rPr/>
      </w:pPr>
      <w:r>
        <w:rPr>
          <w:rFonts w:eastAsia="NSimSun" w:cs="Times New Roman"/>
          <w:color w:val="000000"/>
          <w:kern w:val="2"/>
          <w:sz w:val="24"/>
          <w:szCs w:val="24"/>
          <w:shd w:fill="FFFFFF" w:val="clear"/>
          <w:lang w:bidi="hi-IN"/>
        </w:rPr>
        <w:t>II - desembolsos mediante documento bancário, por meio do qual se faça crédito na conta bancária de titularidade do fornecedor ou prestador de serviços.</w:t>
      </w:r>
    </w:p>
    <w:p>
      <w:pPr>
        <w:pStyle w:val="Normal"/>
        <w:ind w:left="0" w:right="0" w:firstLine="709"/>
        <w:jc w:val="both"/>
        <w:rPr/>
      </w:pPr>
      <w:r>
        <w:rPr>
          <w:rFonts w:eastAsia="NSimSun" w:cs="Times New Roman"/>
          <w:color w:val="000000"/>
          <w:kern w:val="2"/>
          <w:sz w:val="24"/>
          <w:szCs w:val="24"/>
          <w:shd w:fill="FFFFFF" w:val="clear"/>
          <w:lang w:bidi="hi-IN"/>
        </w:rPr>
        <w:t>Parágrafo único. Quando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51. Não se aplicam a disposições desta seção os recursos entregues a Consórcios Públicos mediante contrato de rateio, nos termos regulados pela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11.107/2005 e pelo Decreto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6.017/2017.</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VIII - Dos Empréstimos, Financiamentos e Refinanciamentos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52. Observado o disposto no art. 27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a concessão de empréstimos e financiamentos destinados a pessoas físicas e jurídicas fica condicionada ao pagamento de juros não inferiores a 12% (doze por cento) ao ano, ou ao custo de captação e também às seguintes exigências:</w:t>
      </w:r>
    </w:p>
    <w:p>
      <w:pPr>
        <w:pStyle w:val="Normal"/>
        <w:ind w:left="0" w:right="0" w:firstLine="709"/>
        <w:jc w:val="both"/>
        <w:rPr/>
      </w:pPr>
      <w:r>
        <w:rPr>
          <w:rFonts w:eastAsia="NSimSun" w:cs="Times New Roman"/>
          <w:color w:val="000000"/>
          <w:kern w:val="2"/>
          <w:sz w:val="24"/>
          <w:szCs w:val="24"/>
          <w:shd w:fill="FFFFFF" w:val="clear"/>
          <w:lang w:bidi="hi-IN"/>
        </w:rPr>
        <w:t xml:space="preserve">I - concessão através de fundo rotativo ou programa governamental específico; </w:t>
      </w:r>
    </w:p>
    <w:p>
      <w:pPr>
        <w:pStyle w:val="Normal"/>
        <w:ind w:left="0" w:right="0" w:firstLine="709"/>
        <w:jc w:val="both"/>
        <w:rPr/>
      </w:pPr>
      <w:r>
        <w:rPr>
          <w:rFonts w:eastAsia="NSimSun" w:cs="Times New Roman"/>
          <w:color w:val="000000"/>
          <w:kern w:val="2"/>
          <w:sz w:val="24"/>
          <w:szCs w:val="24"/>
          <w:shd w:fill="FFFFFF" w:val="clear"/>
          <w:lang w:bidi="hi-IN"/>
        </w:rPr>
        <w:t>II - pré-seleção e aprovação dos beneficiários pelo Poder Público;</w:t>
      </w:r>
    </w:p>
    <w:p>
      <w:pPr>
        <w:pStyle w:val="Normal"/>
        <w:ind w:left="0" w:right="0" w:firstLine="709"/>
        <w:jc w:val="both"/>
        <w:rPr/>
      </w:pPr>
      <w:r>
        <w:rPr>
          <w:rFonts w:eastAsia="NSimSun" w:cs="Times New Roman"/>
          <w:color w:val="000000"/>
          <w:kern w:val="2"/>
          <w:sz w:val="24"/>
          <w:szCs w:val="24"/>
          <w:shd w:fill="FFFFFF" w:val="clear"/>
          <w:lang w:bidi="hi-IN"/>
        </w:rPr>
        <w:t>III - formalização de contrato;</w:t>
      </w:r>
    </w:p>
    <w:p>
      <w:pPr>
        <w:pStyle w:val="Normal"/>
        <w:ind w:left="0" w:right="0" w:firstLine="709"/>
        <w:jc w:val="both"/>
        <w:rPr/>
      </w:pPr>
      <w:r>
        <w:rPr>
          <w:rFonts w:eastAsia="NSimSun" w:cs="Times New Roman"/>
          <w:color w:val="000000"/>
          <w:kern w:val="2"/>
          <w:sz w:val="24"/>
          <w:szCs w:val="24"/>
          <w:shd w:fill="FFFFFF" w:val="clear"/>
          <w:lang w:bidi="hi-IN"/>
        </w:rPr>
        <w:t>IV - assunção, pelo mutuário, dos encargos financeiros, eventuais comissões, taxas e outras despesas cobradas pelo agente financeiro, quando for o caso.</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 caso das pessoas jurídicas, serão consideradas como prioritárias, para a concessão de empréstimos ou financiamentos, as empresas que:</w:t>
      </w:r>
    </w:p>
    <w:p>
      <w:pPr>
        <w:pStyle w:val="Normal"/>
        <w:ind w:left="0" w:right="0" w:firstLine="709"/>
        <w:jc w:val="both"/>
        <w:rPr/>
      </w:pPr>
      <w:r>
        <w:rPr>
          <w:rFonts w:eastAsia="NSimSun" w:cs="Times New Roman"/>
          <w:color w:val="000000"/>
          <w:kern w:val="2"/>
          <w:sz w:val="24"/>
          <w:szCs w:val="24"/>
          <w:shd w:fill="FFFFFF" w:val="clear"/>
          <w:lang w:bidi="hi-IN"/>
        </w:rPr>
        <w:t xml:space="preserve">I - desenvolvam projetos de responsabilidade socioambiental; </w:t>
      </w:r>
    </w:p>
    <w:p>
      <w:pPr>
        <w:pStyle w:val="Normal"/>
        <w:ind w:left="0" w:right="0" w:firstLine="709"/>
        <w:jc w:val="both"/>
        <w:rPr/>
      </w:pPr>
      <w:r>
        <w:rPr>
          <w:rFonts w:eastAsia="NSimSun" w:cs="Times New Roman"/>
          <w:color w:val="000000"/>
          <w:kern w:val="2"/>
          <w:sz w:val="24"/>
          <w:szCs w:val="24"/>
          <w:shd w:fill="FFFFFF" w:val="clear"/>
          <w:lang w:bidi="hi-IN"/>
        </w:rPr>
        <w:t>II - integrem as cadeias produtivas locais;</w:t>
      </w:r>
    </w:p>
    <w:p>
      <w:pPr>
        <w:pStyle w:val="Normal"/>
        <w:ind w:left="0" w:right="0" w:firstLine="709"/>
        <w:jc w:val="both"/>
        <w:rPr/>
      </w:pPr>
      <w:r>
        <w:rPr>
          <w:rFonts w:eastAsia="NSimSun" w:cs="Times New Roman"/>
          <w:color w:val="000000"/>
          <w:kern w:val="2"/>
          <w:sz w:val="24"/>
          <w:szCs w:val="24"/>
          <w:shd w:fill="FFFFFF" w:val="clear"/>
          <w:lang w:bidi="hi-IN"/>
        </w:rPr>
        <w:t>III - empreguem pessoas com deficiência em proporção superior à exigida no art. 110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8.213, de 24 de julho de 1991;</w:t>
      </w:r>
    </w:p>
    <w:p>
      <w:pPr>
        <w:pStyle w:val="Normal"/>
        <w:ind w:left="0" w:right="0" w:firstLine="709"/>
        <w:jc w:val="both"/>
        <w:rPr/>
      </w:pPr>
      <w:r>
        <w:rPr>
          <w:rFonts w:eastAsia="NSimSun" w:cs="Times New Roman"/>
          <w:color w:val="000000"/>
          <w:kern w:val="2"/>
          <w:sz w:val="24"/>
          <w:szCs w:val="24"/>
          <w:shd w:fill="FFFFFF" w:val="clear"/>
          <w:lang w:bidi="hi-IN"/>
        </w:rPr>
        <w:t>IV - adotem políticas de participação dos trabalhadores nos lucros;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Através de lei específica, poderão ser concedidos subsídios para o pagamento dos empréstimos e financiamentos de que trata o caput deste artigo, bem como autorizadas prorrogações e parcelamentos de saldos devedores.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V - Das Disposições Relativas à Dívida Pública Municipal</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53. A lei orçamentária anual garantirá recursos para pagamento da dívida pública municipal, nos termos dos compromissos firmados, inclusive com a previdência social.</w:t>
      </w:r>
    </w:p>
    <w:p>
      <w:pPr>
        <w:pStyle w:val="Normal"/>
        <w:ind w:left="0" w:right="0" w:firstLine="709"/>
        <w:jc w:val="both"/>
        <w:rPr/>
      </w:pPr>
      <w:r>
        <w:rPr>
          <w:rFonts w:eastAsia="NSimSun" w:cs="Times New Roman"/>
          <w:color w:val="000000"/>
          <w:kern w:val="2"/>
          <w:sz w:val="24"/>
          <w:szCs w:val="24"/>
          <w:shd w:fill="FFFFFF" w:val="clear"/>
          <w:lang w:bidi="hi-IN"/>
        </w:rPr>
        <w:t xml:space="preserve"> </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54.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VI - Das Disposições Relativas às Despesas com Pessoal e Encargos Sociais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55. No exercício de 2025,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 deverão obedecer às disposições deste capítulo e, no que couber, 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pPr>
      <w:r>
        <w:rPr>
          <w:rFonts w:eastAsia="NSimSun" w:cs="Times New Roman"/>
          <w:color w:val="000000"/>
          <w:kern w:val="2"/>
          <w:sz w:val="24"/>
          <w:szCs w:val="24"/>
          <w:shd w:fill="FFFFFF" w:val="clear"/>
          <w:lang w:bidi="hi-IN"/>
        </w:rPr>
        <w:t>Parágrafo único. Todas as unidades gestoras deverão ter como base de projeção de suas propostas orçamentárias, relativo a pessoal e encargos sociais, a despesa com a folha de pagamento do mês de setembro de 2024, compatibilizada com as despesas apresentadas até este mês e os eventuais acréscimos legais com efeito financeiro no próximo exercício, inclusive a revisão geral anual da remuneração dos servidores públicos e o crescimento vegetativo.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56. Para fins dos limites previstos no art. 19, inciso III, alíneas “a” e “b”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o cálculo das despesas com pessoal dos poderes executivo e legislativo deverá observar as prescrições da Instrução Normativa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18/2023 do Tribunal de Contas do Estado, ou a norma que lhe for superveniente.</w:t>
      </w:r>
    </w:p>
    <w:p>
      <w:pPr>
        <w:pStyle w:val="Normal"/>
        <w:ind w:left="0" w:right="0" w:firstLine="709"/>
        <w:jc w:val="both"/>
        <w:rPr/>
      </w:pPr>
      <w:r>
        <w:rPr>
          <w:rFonts w:eastAsia="NSimSun" w:cs="Times New Roman"/>
          <w:color w:val="000000"/>
          <w:kern w:val="2"/>
          <w:sz w:val="24"/>
          <w:szCs w:val="24"/>
          <w:shd w:fill="FFFFFF" w:val="clear"/>
          <w:lang w:bidi="hi-IN"/>
        </w:rPr>
        <w:t>Parágrafo único. Em atendimento ao disposto no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18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os contratos, convênios e demais ajustes celebrados pelos órgãos e entidades mencionados no art.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 que contenham elementos indicativos de contratação de mão de obra empregada em atividade-fim da do órgão contratante ou inerentes a categorias funcionais abrangidas pelo respectivo plano de cargos e salários do seu quadro de pessoal deverão identificar, em planilha de custos específica, integrante dos respectivos instrumentos, o valor que se refere ao custo da remuneração de pessoal e encargos sociais, diretamente relacionado com o objeto do ajuste.</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57. Em cumprimento ao disposto no art. 39, §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Constituição Federal, até 30 (trinta) dias antes do prazo previsto para envio do Projeto de Lei Orçamentária ao Poder Legislativo, o Poder Executivo publicará os valores do subsídio e da remuneração dos cargos e empregos públicos.</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Parágrafo único. O Poder Legislativo, observará o cumprimento do disposto neste artigo, mediante ato da Mesa Diretora da Câmara Municipal.</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58. O aumento da despesa com pessoal, em decorrência de quaisquer das medidas relacionadas no artigo 169,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da Constituição Federal, respeitados os limites previstos nos artigos 20 e 22, parágrafo único,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e cumpridas as exigências previstas nos artigos 16, 17 e 21 do referido diploma legal, fica autorizado para:</w:t>
      </w:r>
    </w:p>
    <w:p>
      <w:pPr>
        <w:pStyle w:val="Normal"/>
        <w:ind w:left="0" w:right="0" w:firstLine="709"/>
        <w:jc w:val="both"/>
        <w:rPr/>
      </w:pPr>
      <w:r>
        <w:rPr>
          <w:rFonts w:eastAsia="NSimSun" w:cs="Times New Roman"/>
          <w:color w:val="000000"/>
          <w:kern w:val="2"/>
          <w:sz w:val="24"/>
          <w:szCs w:val="24"/>
          <w:shd w:fill="FFFFFF" w:val="clear"/>
          <w:lang w:bidi="hi-IN"/>
        </w:rPr>
        <w:t>I - conceder vantagens e aumentar a remuneração de servidores;</w:t>
      </w:r>
    </w:p>
    <w:p>
      <w:pPr>
        <w:pStyle w:val="Normal"/>
        <w:ind w:left="0" w:right="0" w:firstLine="709"/>
        <w:jc w:val="both"/>
        <w:rPr/>
      </w:pPr>
      <w:r>
        <w:rPr>
          <w:rFonts w:eastAsia="NSimSun" w:cs="Times New Roman"/>
          <w:color w:val="000000"/>
          <w:kern w:val="2"/>
          <w:sz w:val="24"/>
          <w:szCs w:val="24"/>
          <w:shd w:fill="FFFFFF" w:val="clear"/>
          <w:lang w:bidi="hi-IN"/>
        </w:rPr>
        <w:t>II - criar e extinguir cargos públicos e alterar a estrutura de carreiras;</w:t>
      </w:r>
    </w:p>
    <w:p>
      <w:pPr>
        <w:pStyle w:val="Normal"/>
        <w:ind w:left="0" w:right="0" w:firstLine="709"/>
        <w:jc w:val="both"/>
        <w:rPr/>
      </w:pPr>
      <w:r>
        <w:rPr>
          <w:rFonts w:eastAsia="NSimSun" w:cs="Times New Roman"/>
          <w:color w:val="000000"/>
          <w:kern w:val="2"/>
          <w:sz w:val="24"/>
          <w:szCs w:val="24"/>
          <w:shd w:fill="FFFFFF" w:val="clear"/>
          <w:lang w:bidi="hi-IN"/>
        </w:rPr>
        <w:t>III - prover cargos efetivos, mediante concurso público, bem como efetuar contratações por tempo determinado para atender à necessidade temporária de excepcional interesse público, respeitada a legislação municipal vigente;</w:t>
      </w:r>
    </w:p>
    <w:p>
      <w:pPr>
        <w:pStyle w:val="Normal"/>
        <w:ind w:left="0" w:right="0" w:firstLine="709"/>
        <w:jc w:val="both"/>
        <w:rPr/>
      </w:pPr>
      <w:r>
        <w:rPr>
          <w:rFonts w:eastAsia="NSimSun" w:cs="Times New Roman"/>
          <w:color w:val="000000"/>
          <w:kern w:val="2"/>
          <w:sz w:val="24"/>
          <w:szCs w:val="24"/>
          <w:shd w:fill="FFFFFF" w:val="clear"/>
          <w:lang w:bidi="hi-IN"/>
        </w:rPr>
        <w:t>IV - prover cargos em comissão e funções de confiança.</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Também estão autorizadas as seguintes ações, relacionadas com a política de pessoal da Administração Municipal:</w:t>
      </w:r>
    </w:p>
    <w:p>
      <w:pPr>
        <w:pStyle w:val="Normal"/>
        <w:ind w:left="0" w:right="0" w:firstLine="709"/>
        <w:jc w:val="both"/>
        <w:rPr/>
      </w:pPr>
      <w:r>
        <w:rPr>
          <w:rFonts w:eastAsia="NSimSun" w:cs="Times New Roman"/>
          <w:color w:val="000000"/>
          <w:kern w:val="2"/>
          <w:sz w:val="24"/>
          <w:szCs w:val="24"/>
          <w:shd w:fill="FFFFFF" w:val="clear"/>
          <w:lang w:bidi="hi-IN"/>
        </w:rPr>
        <w:t>I - proporcionar o desenvolvimento profissional de servidores municipais, mediante a realização de programas de treinamento;</w:t>
      </w:r>
    </w:p>
    <w:p>
      <w:pPr>
        <w:pStyle w:val="Normal"/>
        <w:ind w:left="0" w:right="0" w:firstLine="709"/>
        <w:jc w:val="both"/>
        <w:rPr/>
      </w:pPr>
      <w:r>
        <w:rPr>
          <w:rFonts w:eastAsia="NSimSun" w:cs="Times New Roman"/>
          <w:color w:val="000000"/>
          <w:kern w:val="2"/>
          <w:sz w:val="24"/>
          <w:szCs w:val="24"/>
          <w:shd w:fill="FFFFFF" w:val="clear"/>
          <w:lang w:bidi="hi-IN"/>
        </w:rPr>
        <w:t>II - proporcionar o desenvolvimento pessoal dos servidores municipais, mediante a realização de programas informativos, educativos e culturais;</w:t>
      </w:r>
    </w:p>
    <w:p>
      <w:pPr>
        <w:pStyle w:val="Normal"/>
        <w:ind w:left="0" w:right="0" w:firstLine="709"/>
        <w:jc w:val="both"/>
        <w:rPr/>
      </w:pPr>
      <w:r>
        <w:rPr>
          <w:rFonts w:eastAsia="NSimSun" w:cs="Times New Roman"/>
          <w:color w:val="000000"/>
          <w:kern w:val="2"/>
          <w:sz w:val="24"/>
          <w:szCs w:val="24"/>
          <w:shd w:fill="FFFFFF" w:val="clear"/>
          <w:lang w:bidi="hi-IN"/>
        </w:rPr>
        <w:t>III - melhorar as condições de trabalho, equipamentos e infraestrutura, especialmente no que concerne à saúde, alimentação, transporte e segurança no trabalho.</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 caso dos incisos I, II, III e IV do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as exposições de motivos dos projetos de lei ou, quando for o caso, os procedimentos administrativos correspondentes, deverão demonstrar, para os efeitos dos artigos 16 e 17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as seguintes informações:</w:t>
      </w:r>
    </w:p>
    <w:p>
      <w:pPr>
        <w:pStyle w:val="Normal"/>
        <w:ind w:left="0" w:right="0" w:firstLine="709"/>
        <w:jc w:val="both"/>
        <w:rPr/>
      </w:pPr>
      <w:r>
        <w:rPr>
          <w:rFonts w:eastAsia="NSimSun" w:cs="Times New Roman"/>
          <w:color w:val="000000"/>
          <w:kern w:val="2"/>
          <w:sz w:val="24"/>
          <w:szCs w:val="24"/>
          <w:shd w:fill="FFFFFF" w:val="clear"/>
          <w:lang w:bidi="hi-IN"/>
        </w:rPr>
        <w:t>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w:t>
      </w:r>
    </w:p>
    <w:p>
      <w:pPr>
        <w:pStyle w:val="Normal"/>
        <w:ind w:left="0" w:right="0" w:firstLine="709"/>
        <w:jc w:val="both"/>
        <w:rPr/>
      </w:pPr>
      <w:r>
        <w:rPr>
          <w:rFonts w:eastAsia="NSimSun" w:cs="Times New Roman"/>
          <w:color w:val="000000"/>
          <w:kern w:val="2"/>
          <w:sz w:val="24"/>
          <w:szCs w:val="24"/>
          <w:shd w:fill="FFFFFF" w:val="clear"/>
          <w:lang w:bidi="hi-IN"/>
        </w:rPr>
        <w:t>II - declaração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estimativas de impacto orçamentário-financeiro e declaração do ordenador de despesas para o aumento dos gastos com pessoal, terão validade de seis (seis) meses contados da data da sua elaboração, devendo tais documentos ser reelaborados na hipótese de não ser praticado, dentro deste prazo, o ato que resulte aumento da despesa com pessoal.</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No caso de aumento de despesas com pessoal do Poder Legislativo, deverão ser obedecidos, adicionalmente, os limites fixados nos arts. 29 e 29-A da Constituição Federal.</w:t>
      </w:r>
    </w:p>
    <w:p>
      <w:pPr>
        <w:pStyle w:val="Normal"/>
        <w:ind w:left="0" w:right="0" w:firstLine="709"/>
        <w:jc w:val="both"/>
        <w:rPr/>
      </w:pPr>
      <w:r>
        <w:rPr>
          <w:rFonts w:eastAsia="NSimSun" w:cs="Times New Roman"/>
          <w:color w:val="000000"/>
          <w:kern w:val="2"/>
          <w:sz w:val="24"/>
          <w:szCs w:val="24"/>
          <w:shd w:fill="FFFFFF" w:val="clear"/>
          <w:lang w:bidi="hi-IN"/>
        </w:rPr>
        <w:t>§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atos que provoquem aumento da despesa de que tratam os incisos I, II, III e IV do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serão considerados nulos de pleno direito, se praticados sem o atendimento das disposições dos incisos I e II do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deste artigo.</w:t>
      </w:r>
    </w:p>
    <w:p>
      <w:pPr>
        <w:pStyle w:val="Normal"/>
        <w:ind w:left="0" w:right="0" w:firstLine="709"/>
        <w:jc w:val="both"/>
        <w:rPr/>
      </w:pPr>
      <w:r>
        <w:rPr>
          <w:rFonts w:eastAsia="NSimSun" w:cs="Times New Roman"/>
          <w:color w:val="000000"/>
          <w:kern w:val="2"/>
          <w:sz w:val="24"/>
          <w:szCs w:val="24"/>
          <w:shd w:fill="FFFFFF" w:val="clear"/>
          <w:lang w:bidi="hi-IN"/>
        </w:rPr>
        <w: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pPr>
        <w:pStyle w:val="Normal"/>
        <w:ind w:left="0" w:right="0" w:firstLine="709"/>
        <w:jc w:val="both"/>
        <w:rPr/>
      </w:pPr>
      <w:r>
        <w:rPr>
          <w:rFonts w:eastAsia="NSimSun" w:cs="Times New Roman"/>
          <w:color w:val="000000"/>
          <w:kern w:val="2"/>
          <w:sz w:val="24"/>
          <w:szCs w:val="24"/>
          <w:shd w:fill="FFFFFF" w:val="clear"/>
          <w:lang w:bidi="hi-IN"/>
        </w:rPr>
        <w:t>§ 7</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disposições do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56 desta Lei não se aplicam aos atos de concessão de vantagens já previstas na legislação pertinente, de caráter meramente declaratório bem como as despesas irrelevantes, até o valor estabelecido no art. 15, §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desta lei.</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Art. 59.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pPr>
        <w:pStyle w:val="Normal"/>
        <w:ind w:left="0" w:right="0" w:firstLine="709"/>
        <w:jc w:val="both"/>
        <w:rPr/>
      </w:pPr>
      <w:r>
        <w:rPr>
          <w:rFonts w:eastAsia="NSimSun" w:cs="Times New Roman"/>
          <w:color w:val="000000"/>
          <w:kern w:val="2"/>
          <w:sz w:val="24"/>
          <w:szCs w:val="24"/>
          <w:shd w:fill="FFFFFF" w:val="clear"/>
          <w:lang w:bidi="hi-IN"/>
        </w:rPr>
        <w:t>I - as situações de emergência ou de calamidade pública;</w:t>
      </w:r>
    </w:p>
    <w:p>
      <w:pPr>
        <w:pStyle w:val="Normal"/>
        <w:ind w:left="0" w:right="0" w:firstLine="709"/>
        <w:jc w:val="both"/>
        <w:rPr/>
      </w:pPr>
      <w:r>
        <w:rPr>
          <w:rFonts w:eastAsia="NSimSun" w:cs="Times New Roman"/>
          <w:color w:val="000000"/>
          <w:kern w:val="2"/>
          <w:sz w:val="24"/>
          <w:szCs w:val="24"/>
          <w:shd w:fill="FFFFFF" w:val="clear"/>
          <w:lang w:bidi="hi-IN"/>
        </w:rPr>
        <w:t>II - as situações de risco iminente à segurança de pessoas ou bens;</w:t>
      </w:r>
    </w:p>
    <w:p>
      <w:pPr>
        <w:pStyle w:val="Normal"/>
        <w:ind w:left="0" w:right="0" w:firstLine="709"/>
        <w:jc w:val="both"/>
        <w:rPr/>
      </w:pPr>
      <w:r>
        <w:rPr>
          <w:rFonts w:eastAsia="NSimSun" w:cs="Times New Roman"/>
          <w:color w:val="000000"/>
          <w:kern w:val="2"/>
          <w:sz w:val="24"/>
          <w:szCs w:val="24"/>
          <w:shd w:fill="FFFFFF" w:val="clear"/>
          <w:lang w:bidi="hi-IN"/>
        </w:rPr>
        <w:t>III - a relação custo-benefício se revelar mais favorável em relação a outra alternativa possível.</w:t>
      </w:r>
    </w:p>
    <w:p>
      <w:pPr>
        <w:pStyle w:val="Normal"/>
        <w:ind w:left="0" w:right="0" w:firstLine="709"/>
        <w:jc w:val="both"/>
        <w:rPr/>
      </w:pP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Parágrafo único. A autorização para a realização de serviço extraordinário, no âmbito do Poder Executivo, nas condições estabelecidas neste artigo, é de exclusiva competência do Secretário Municipal responsável pela pasta e ordenador da despesa.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VII - Das Alterações na Legislação Tributária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60. As receitas serão estimadas e discriminadas:</w:t>
      </w:r>
    </w:p>
    <w:p>
      <w:pPr>
        <w:pStyle w:val="Normal"/>
        <w:ind w:left="0" w:right="0" w:firstLine="709"/>
        <w:jc w:val="both"/>
        <w:rPr/>
      </w:pPr>
      <w:r>
        <w:rPr>
          <w:rFonts w:eastAsia="NSimSun" w:cs="Times New Roman"/>
          <w:color w:val="000000"/>
          <w:kern w:val="2"/>
          <w:sz w:val="24"/>
          <w:szCs w:val="24"/>
          <w:shd w:fill="FFFFFF" w:val="clear"/>
          <w:lang w:bidi="hi-IN"/>
        </w:rPr>
        <w:t>I - considerando a legislação tributária vigente até a data do envio do projeto de lei orçamentária à Câmara Municipal;</w:t>
      </w:r>
    </w:p>
    <w:p>
      <w:pPr>
        <w:pStyle w:val="Normal"/>
        <w:ind w:left="0" w:right="0" w:firstLine="709"/>
        <w:jc w:val="both"/>
        <w:rPr/>
      </w:pPr>
      <w:r>
        <w:rPr>
          <w:rFonts w:eastAsia="NSimSun" w:cs="Times New Roman"/>
          <w:color w:val="000000"/>
          <w:kern w:val="2"/>
          <w:sz w:val="24"/>
          <w:szCs w:val="24"/>
          <w:shd w:fill="FFFFFF" w:val="clear"/>
          <w:lang w:bidi="hi-IN"/>
        </w:rPr>
        <w:t>II - considerando, se for o caso, os efeitos das alterações na legislação tributária, resultantes de projetos de lei encaminhados à Câmara Municipal até a data de apresentação da proposta orçamentária de 2025, especialmente sobre:</w:t>
      </w:r>
    </w:p>
    <w:p>
      <w:pPr>
        <w:pStyle w:val="Normal"/>
        <w:ind w:left="0" w:right="0" w:firstLine="709"/>
        <w:jc w:val="both"/>
        <w:rPr/>
      </w:pPr>
      <w:r>
        <w:rPr>
          <w:rFonts w:eastAsia="NSimSun" w:cs="Times New Roman"/>
          <w:color w:val="000000"/>
          <w:kern w:val="2"/>
          <w:sz w:val="24"/>
          <w:szCs w:val="24"/>
          <w:shd w:fill="FFFFFF" w:val="clear"/>
          <w:lang w:bidi="hi-IN"/>
        </w:rPr>
        <w:t>a) atualização da planta genérica de valores do Município;</w:t>
      </w:r>
    </w:p>
    <w:p>
      <w:pPr>
        <w:pStyle w:val="Normal"/>
        <w:ind w:left="0" w:right="0" w:firstLine="709"/>
        <w:jc w:val="both"/>
        <w:rPr/>
      </w:pPr>
      <w:r>
        <w:rPr>
          <w:rFonts w:eastAsia="NSimSun" w:cs="Times New Roman"/>
          <w:color w:val="000000"/>
          <w:kern w:val="2"/>
          <w:sz w:val="24"/>
          <w:szCs w:val="24"/>
          <w:shd w:fill="FFFFFF" w:val="clear"/>
          <w:lang w:bidi="hi-IN"/>
        </w:rPr>
        <w:t>b) revisão, atualização ou adequação da legislação sobre o Imposto Predial e Territorial Urbano, suas alíquotas, forma de cálculo, condições de pagamento, descontos e isenções, inclusive com relação à progressividade desse imposto;</w:t>
      </w:r>
    </w:p>
    <w:p>
      <w:pPr>
        <w:pStyle w:val="Normal"/>
        <w:ind w:left="0" w:right="0" w:firstLine="709"/>
        <w:jc w:val="both"/>
        <w:rPr/>
      </w:pPr>
      <w:r>
        <w:rPr>
          <w:rFonts w:eastAsia="NSimSun" w:cs="Times New Roman"/>
          <w:color w:val="000000"/>
          <w:kern w:val="2"/>
          <w:sz w:val="24"/>
          <w:szCs w:val="24"/>
          <w:shd w:fill="FFFFFF" w:val="clear"/>
          <w:lang w:bidi="hi-IN"/>
        </w:rPr>
        <w:t>c) revisão da legislação sobre o uso do solo, com redefinição dos limites da zona urbana municipal;</w:t>
      </w:r>
    </w:p>
    <w:p>
      <w:pPr>
        <w:pStyle w:val="Normal"/>
        <w:ind w:left="0" w:right="0" w:firstLine="709"/>
        <w:jc w:val="both"/>
        <w:rPr/>
      </w:pPr>
      <w:r>
        <w:rPr>
          <w:rFonts w:eastAsia="NSimSun" w:cs="Times New Roman"/>
          <w:color w:val="000000"/>
          <w:kern w:val="2"/>
          <w:sz w:val="24"/>
          <w:szCs w:val="24"/>
          <w:shd w:fill="FFFFFF" w:val="clear"/>
          <w:lang w:bidi="hi-IN"/>
        </w:rPr>
        <w:t>d) revisão da legislação referente ao Imposto Sobre Serviços de Qualquer Natureza;</w:t>
      </w:r>
    </w:p>
    <w:p>
      <w:pPr>
        <w:pStyle w:val="Normal"/>
        <w:ind w:left="0" w:right="0" w:firstLine="709"/>
        <w:jc w:val="both"/>
        <w:rPr/>
      </w:pPr>
      <w:r>
        <w:rPr>
          <w:rFonts w:eastAsia="NSimSun" w:cs="Times New Roman"/>
          <w:color w:val="000000"/>
          <w:kern w:val="2"/>
          <w:sz w:val="24"/>
          <w:szCs w:val="24"/>
          <w:shd w:fill="FFFFFF" w:val="clear"/>
          <w:lang w:bidi="hi-IN"/>
        </w:rPr>
        <w:t>e) revisão da legislação aplicável ao Imposto Sobre Transmissão Inter Vivos de Bens Imóveis e de Direitos Reais sobre Imóveis;</w:t>
      </w:r>
    </w:p>
    <w:p>
      <w:pPr>
        <w:pStyle w:val="Normal"/>
        <w:ind w:left="0" w:right="0" w:firstLine="709"/>
        <w:jc w:val="both"/>
        <w:rPr/>
      </w:pPr>
      <w:r>
        <w:rPr>
          <w:rFonts w:eastAsia="NSimSun" w:cs="Times New Roman"/>
          <w:color w:val="000000"/>
          <w:kern w:val="2"/>
          <w:sz w:val="24"/>
          <w:szCs w:val="24"/>
          <w:shd w:fill="FFFFFF" w:val="clear"/>
          <w:lang w:bidi="hi-IN"/>
        </w:rPr>
        <w:t>f) instituição de novas taxas pela prestação de serviços públicos e pelo exercício do poder de polícia;</w:t>
      </w:r>
    </w:p>
    <w:p>
      <w:pPr>
        <w:pStyle w:val="Normal"/>
        <w:ind w:left="0" w:right="0" w:firstLine="709"/>
        <w:jc w:val="both"/>
        <w:rPr/>
      </w:pPr>
      <w:r>
        <w:rPr>
          <w:rFonts w:eastAsia="NSimSun" w:cs="Times New Roman"/>
          <w:color w:val="000000"/>
          <w:kern w:val="2"/>
          <w:sz w:val="24"/>
          <w:szCs w:val="24"/>
          <w:shd w:fill="FFFFFF" w:val="clear"/>
          <w:lang w:bidi="hi-IN"/>
        </w:rPr>
        <w:t>g) revisão das isenções tributárias, para atender ao interesse público e à justiça social;</w:t>
      </w:r>
    </w:p>
    <w:p>
      <w:pPr>
        <w:pStyle w:val="Normal"/>
        <w:ind w:left="0" w:right="0" w:firstLine="709"/>
        <w:jc w:val="both"/>
        <w:rPr/>
      </w:pPr>
      <w:r>
        <w:rPr>
          <w:rFonts w:eastAsia="NSimSun" w:cs="Times New Roman"/>
          <w:color w:val="000000"/>
          <w:kern w:val="2"/>
          <w:sz w:val="24"/>
          <w:szCs w:val="24"/>
          <w:shd w:fill="FFFFFF" w:val="clear"/>
          <w:lang w:bidi="hi-IN"/>
        </w:rPr>
        <w:t>h) revisão das contribuições sociais, destinadas à seguridade social, cuja necessidade tenha sido evidenciada através de cálculo atuarial;</w:t>
      </w:r>
    </w:p>
    <w:p>
      <w:pPr>
        <w:pStyle w:val="Normal"/>
        <w:ind w:left="0" w:right="0" w:firstLine="709"/>
        <w:jc w:val="both"/>
        <w:rPr/>
      </w:pPr>
      <w:r>
        <w:rPr>
          <w:rFonts w:eastAsia="NSimSun" w:cs="Times New Roman"/>
          <w:color w:val="000000"/>
          <w:kern w:val="2"/>
          <w:sz w:val="24"/>
          <w:szCs w:val="24"/>
          <w:shd w:fill="FFFFFF" w:val="clear"/>
          <w:lang w:bidi="hi-IN"/>
        </w:rPr>
        <w:t>i) demais incentivos e benefícios fiscais.</w:t>
      </w:r>
    </w:p>
    <w:p>
      <w:pPr>
        <w:pStyle w:val="Normal"/>
        <w:tabs>
          <w:tab w:val="clear" w:pos="708"/>
          <w:tab w:val="left" w:pos="60" w:leader="none"/>
        </w:tabs>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tabs>
          <w:tab w:val="clear" w:pos="708"/>
          <w:tab w:val="left" w:pos="60" w:leader="none"/>
        </w:tabs>
        <w:ind w:left="0" w:right="0" w:firstLine="709"/>
        <w:jc w:val="both"/>
        <w:rPr/>
      </w:pPr>
      <w:r>
        <w:rPr>
          <w:rFonts w:eastAsia="NSimSun" w:cs="Times New Roman"/>
          <w:color w:val="000000"/>
          <w:kern w:val="2"/>
          <w:sz w:val="24"/>
          <w:szCs w:val="24"/>
          <w:shd w:fill="FFFFFF" w:val="clear"/>
          <w:lang w:bidi="hi-IN"/>
        </w:rPr>
        <w:t>Art. 61.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tabs>
          <w:tab w:val="clear" w:pos="708"/>
          <w:tab w:val="left" w:pos="255" w:leader="none"/>
        </w:tabs>
        <w:ind w:left="0" w:right="0" w:firstLine="709"/>
        <w:jc w:val="both"/>
        <w:rPr/>
      </w:pPr>
      <w:r>
        <w:rPr>
          <w:rFonts w:eastAsia="NSimSun" w:cs="Times New Roman"/>
          <w:color w:val="000000"/>
          <w:kern w:val="2"/>
          <w:sz w:val="24"/>
          <w:szCs w:val="24"/>
          <w:shd w:fill="FFFFFF" w:val="clear"/>
          <w:lang w:bidi="hi-IN"/>
        </w:rPr>
        <w:t>Art. 62.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pPr>
        <w:pStyle w:val="Normal"/>
        <w:ind w:left="0" w:right="0" w:firstLine="709"/>
        <w:jc w:val="both"/>
        <w:rPr/>
      </w:pPr>
      <w:r>
        <w:rPr>
          <w:rFonts w:eastAsia="NSimSun" w:cs="Times New Roman"/>
          <w:color w:val="000000"/>
          <w:kern w:val="2"/>
          <w:sz w:val="24"/>
          <w:szCs w:val="24"/>
          <w:shd w:fill="FFFFFF" w:val="clear"/>
          <w:lang w:bidi="hi-IN"/>
        </w:rPr>
        <w:t>a) aumento de receita proveniente de elevação de alíquota, ampliação da base de cálculo, majoração ou criação de tributo ou contribuição;</w:t>
      </w:r>
    </w:p>
    <w:p>
      <w:pPr>
        <w:pStyle w:val="Normal"/>
        <w:ind w:left="0" w:right="0" w:firstLine="709"/>
        <w:jc w:val="both"/>
        <w:rPr/>
      </w:pPr>
      <w:r>
        <w:rPr>
          <w:rFonts w:eastAsia="NSimSun" w:cs="Times New Roman"/>
          <w:color w:val="000000"/>
          <w:kern w:val="2"/>
          <w:sz w:val="24"/>
          <w:szCs w:val="24"/>
          <w:shd w:fill="FFFFFF" w:val="clear"/>
          <w:lang w:bidi="hi-IN"/>
        </w:rPr>
        <w:t>b) cancelamento, durante o período em que vigorar o benefício, de despesas em valor equivalente.</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Poderá ser considerado como aumento de receita, para efeito do disposto neste artigo, o acréscimo que for observado na arrecadação dos tributos que são objeto de transferência constitucional, com base nos arts. 158 e 159 da Constituição Federal, em percentual que supere a variação do Índice Nacional de Preços ao Consumidor Amplo calculado pela Fundação Instituto Brasileiro de Geografia e Estatística - IBGE.</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Não se sujeitam às regras do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w:t>
      </w:r>
    </w:p>
    <w:p>
      <w:pPr>
        <w:pStyle w:val="Normal"/>
        <w:ind w:left="0" w:right="0" w:firstLine="709"/>
        <w:jc w:val="both"/>
        <w:rPr/>
      </w:pPr>
      <w:r>
        <w:rPr>
          <w:rFonts w:eastAsia="NSimSun" w:cs="Times New Roman"/>
          <w:color w:val="000000"/>
          <w:kern w:val="2"/>
          <w:sz w:val="24"/>
          <w:szCs w:val="24"/>
          <w:shd w:fill="FFFFFF" w:val="clear"/>
          <w:lang w:bidi="hi-IN"/>
        </w:rPr>
        <w:t>I - a homologação de pedidos concessão de incentivos ou benefícios apresentados com base na legislação municipal preexistente;</w:t>
      </w:r>
    </w:p>
    <w:p>
      <w:pPr>
        <w:pStyle w:val="Normal"/>
        <w:ind w:left="0" w:right="0" w:firstLine="709"/>
        <w:jc w:val="both"/>
        <w:rPr/>
      </w:pPr>
      <w:r>
        <w:rPr>
          <w:rFonts w:eastAsia="NSimSun" w:cs="Times New Roman"/>
          <w:color w:val="000000"/>
          <w:kern w:val="2"/>
          <w:sz w:val="24"/>
          <w:szCs w:val="24"/>
          <w:shd w:fill="FFFFFF" w:val="clear"/>
          <w:lang w:bidi="hi-IN"/>
        </w:rPr>
        <w:t>II - os incentivos ou benefícios de natureza tributária ou não tributária concedidos de acordo com as disposições do art. 65,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III,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63. Conforme permissivo do art. 172, inciso III,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5.172, de 25 de outubro de 1966, Código Tributário Nacional, e o inciso II, do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14,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os créditos tributários lançados e não arrecadados, inscritos em dívida ativa, cujos custos para cobrança sejam superiores ao crédito tributário, poderão ser cancelados, mediante autorização em lei, não se constituindo como renúncia de receita.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VIII - Das Disposições Gerais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64. Para fins de atendimento ao disposto no art. 62 da Lei Complementar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101/2000, fica o Poder Executivo autorizado a firmar convênios, ajustes e/ou contratos, para o custeio de despesas de competência da União, do Estado ou de outros Municípios, exclusivamente para o atendimento de programas de segurança pública, justiça eleitoral, fiscalização sanitária, tributária e ambiental, educação, cultura, saúde, assistência social, agricultura, meio ambiente, alistamento militar, defesa civil ou ainda a execução de projetos específicos de desenvolvimento econômico-social.</w:t>
      </w:r>
    </w:p>
    <w:p>
      <w:pPr>
        <w:pStyle w:val="Normal"/>
        <w:ind w:left="0" w:right="0" w:firstLine="709"/>
        <w:jc w:val="both"/>
        <w:rPr/>
      </w:pPr>
      <w:r>
        <w:rPr>
          <w:rFonts w:eastAsia="NSimSun" w:cs="Times New Roman"/>
          <w:color w:val="000000"/>
          <w:kern w:val="2"/>
          <w:sz w:val="24"/>
          <w:szCs w:val="24"/>
          <w:shd w:fill="FFFFFF" w:val="clear"/>
          <w:lang w:bidi="hi-IN"/>
        </w:rPr>
        <w:t xml:space="preserve">Parágrafo único. A Lei Orçamentária anual, ou seus créditos adicionais, deverão contemplar recursos orçamentários suficientes para o atendimento das despesas de que trata 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deste artigo.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65. Por meio da Secretaria Municipal de Planejamento, assistida pela Secretaria Municipal de Finanças,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66. Em consonância com o que dispõe o §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art. 166 da Constituição Federal e o art. 120-A da Lei Orgânica do Município, poderá o Prefeito Municipal enviar Mensagem à Câmara Municipal para propor modificações aos projetos de lei orçamentária enquanto não estiver concluída a votação da parte cuja alteração é proposta.</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67. Fica facultado ao Poder Executivo publicar no órgão oficial de imprensa, de forma simplificada, a Lei Orçamentária Anual bem como as leis e os decretos de abertura dos créditos adicionais.</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color w:val="000000"/>
          <w:kern w:val="2"/>
          <w:sz w:val="24"/>
          <w:szCs w:val="24"/>
          <w:shd w:fill="FFFFFF" w:val="clear"/>
          <w:lang w:bidi="hi-IN"/>
        </w:rPr>
        <w:t>Art. 68. Fica autorizada a retificação e republicação da Lei Orçamentária e dos Créditos Adicionais, nos casos de inexatidões formais.</w:t>
      </w:r>
    </w:p>
    <w:p>
      <w:pPr>
        <w:pStyle w:val="Normal"/>
        <w:ind w:left="0" w:right="0" w:firstLine="709"/>
        <w:jc w:val="both"/>
        <w:rPr/>
      </w:pPr>
      <w:r>
        <w:rPr>
          <w:rFonts w:eastAsia="NSimSun" w:cs="Times New Roman"/>
          <w:color w:val="000000"/>
          <w:kern w:val="2"/>
          <w:sz w:val="24"/>
          <w:szCs w:val="24"/>
          <w:shd w:fill="FFFFFF" w:val="clear"/>
          <w:lang w:bidi="hi-IN"/>
        </w:rPr>
        <w:t>Parágrafo único.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não impliquem mudança de valores e de finalidade da programação.</w:t>
      </w:r>
    </w:p>
    <w:p>
      <w:pPr>
        <w:pStyle w:val="Normal"/>
        <w:ind w:left="0" w:right="0" w:firstLine="709"/>
        <w:jc w:val="both"/>
        <w:rPr>
          <w:rFonts w:eastAsia="NSimSun" w:cs="Times New Roman"/>
          <w:color w:val="000000"/>
          <w:kern w:val="2"/>
          <w:sz w:val="24"/>
          <w:szCs w:val="24"/>
          <w:shd w:fill="FFFFFF" w:val="clear"/>
          <w:lang w:bidi="hi-IN"/>
        </w:rPr>
      </w:pPr>
      <w:r>
        <w:rPr>
          <w:rFonts w:eastAsia="NSimSun" w:cs="Times New Roman"/>
          <w:color w:val="000000"/>
          <w:kern w:val="2"/>
          <w:sz w:val="24"/>
          <w:szCs w:val="24"/>
          <w:shd w:fill="FFFFFF" w:val="clear"/>
          <w:lang w:bidi="hi-IN"/>
        </w:rPr>
      </w:r>
    </w:p>
    <w:p>
      <w:pPr>
        <w:pStyle w:val="Normal"/>
        <w:ind w:left="0" w:right="0" w:firstLine="709"/>
        <w:jc w:val="both"/>
        <w:rPr/>
      </w:pPr>
      <w:r>
        <w:rPr>
          <w:rFonts w:eastAsia="NSimSun" w:cs="Times New Roman"/>
          <w:b w:val="false"/>
          <w:bCs w:val="false"/>
          <w:i w:val="false"/>
          <w:iCs w:val="false"/>
          <w:color w:val="000000"/>
          <w:kern w:val="2"/>
          <w:sz w:val="24"/>
          <w:szCs w:val="24"/>
          <w:u w:val="none"/>
          <w:shd w:fill="FFFFFF" w:val="clear"/>
          <w:lang w:val="pt-BR" w:eastAsia="pt-BR" w:bidi="hi-IN"/>
        </w:rPr>
        <w:t xml:space="preserve"> </w:t>
      </w:r>
      <w:r>
        <w:rPr>
          <w:rFonts w:eastAsia="NSimSun" w:cs="Times New Roman"/>
          <w:b w:val="false"/>
          <w:bCs w:val="false"/>
          <w:i w:val="false"/>
          <w:iCs w:val="false"/>
          <w:color w:val="000000"/>
          <w:kern w:val="2"/>
          <w:sz w:val="24"/>
          <w:szCs w:val="24"/>
          <w:u w:val="none"/>
          <w:shd w:fill="FFFFFF" w:val="clear"/>
          <w:lang w:val="pt-BR" w:eastAsia="pt-BR" w:bidi="hi-IN"/>
        </w:rPr>
        <w:t>Art. 69. Esta Lei entra em vigor na data de sua publicação.</w:t>
      </w:r>
    </w:p>
    <w:sectPr>
      <w:headerReference w:type="default" r:id="rId3"/>
      <w:footerReference w:type="default" r:id="rId4"/>
      <w:type w:val="nextPage"/>
      <w:pgSz w:w="11906" w:h="16838"/>
      <w:pgMar w:left="1701"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300" distR="114300" simplePos="0" locked="0" layoutInCell="0" allowOverlap="1" relativeHeight="27">
          <wp:simplePos x="0" y="0"/>
          <wp:positionH relativeFrom="column">
            <wp:posOffset>2522855</wp:posOffset>
          </wp:positionH>
          <wp:positionV relativeFrom="paragraph">
            <wp:posOffset>-105410</wp:posOffset>
          </wp:positionV>
          <wp:extent cx="800100" cy="1143000"/>
          <wp:effectExtent l="0" t="0" r="0" b="0"/>
          <wp:wrapSquare wrapText="larges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1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qFormat/>
    <w:rsid w:val="00443461"/>
    <w:rPr>
      <w:sz w:val="24"/>
      <w:szCs w:val="24"/>
    </w:rPr>
  </w:style>
  <w:style w:type="character" w:styleId="LinkdaInternet" w:customStyle="1">
    <w:name w:val="Hyperlink"/>
    <w:rPr>
      <w:color w:val="0000FF"/>
      <w:u w:val="single"/>
    </w:rPr>
  </w:style>
  <w:style w:type="character" w:styleId="Linkdainternetvisitado" w:customStyle="1">
    <w:name w:val="FollowedHyperlink"/>
    <w:qFormat/>
    <w:rPr>
      <w:color w:val="800080"/>
      <w:u w:val="single"/>
    </w:rPr>
  </w:style>
  <w:style w:type="character" w:styleId="CorpodetextoChar" w:customStyle="1">
    <w:name w:val="Corpo de texto Char"/>
    <w:qFormat/>
    <w:rsid w:val="00e87ee8"/>
    <w:rPr>
      <w:sz w:val="28"/>
    </w:rPr>
  </w:style>
  <w:style w:type="character" w:styleId="Corpodetexto2Char" w:customStyle="1">
    <w:name w:val="Corpo de texto 2 Char"/>
    <w:qFormat/>
    <w:rsid w:val="00e442f0"/>
    <w:rPr>
      <w:sz w:val="24"/>
      <w:szCs w:val="24"/>
    </w:rPr>
  </w:style>
  <w:style w:type="character" w:styleId="TextodebaloChar" w:customStyle="1">
    <w:name w:val="Texto de balão Char"/>
    <w:qFormat/>
    <w:rsid w:val="00443461"/>
    <w:rPr>
      <w:rFonts w:ascii="Tahoma" w:hAnsi="Tahoma" w:eastAsia="Batang" w:cs="Tahoma"/>
      <w:sz w:val="16"/>
      <w:szCs w:val="16"/>
    </w:rPr>
  </w:style>
  <w:style w:type="character" w:styleId="Corpodetexto3Char" w:customStyle="1">
    <w:name w:val="Corpo de texto 3 Char"/>
    <w:uiPriority w:val="99"/>
    <w:qFormat/>
    <w:rsid w:val="00c41c38"/>
    <w:rPr>
      <w:sz w:val="16"/>
      <w:szCs w:val="16"/>
    </w:rPr>
  </w:style>
  <w:style w:type="character" w:styleId="Recuodecorpodetexto3Char" w:customStyle="1">
    <w:name w:val="Recuo de corpo de texto 3 Char"/>
    <w:uiPriority w:val="99"/>
    <w:qFormat/>
    <w:rsid w:val="001425ea"/>
    <w:rPr>
      <w:sz w:val="16"/>
      <w:szCs w:val="16"/>
    </w:rPr>
  </w:style>
  <w:style w:type="character" w:styleId="RecuodecorpodetextoChar" w:customStyle="1">
    <w:name w:val="Recuo de corpo de texto Char"/>
    <w:qFormat/>
    <w:rsid w:val="004e2d4a"/>
    <w:rPr>
      <w:sz w:val="28"/>
      <w:szCs w:val="24"/>
    </w:rPr>
  </w:style>
  <w:style w:type="character" w:styleId="Recuodecorpodetexto2Char" w:customStyle="1">
    <w:name w:val="Recuo de corpo de texto 2 Char"/>
    <w:qFormat/>
    <w:rsid w:val="00484f99"/>
    <w:rPr>
      <w:sz w:val="24"/>
      <w:szCs w:val="24"/>
    </w:rPr>
  </w:style>
  <w:style w:type="character" w:styleId="CabealhoChar" w:customStyle="1">
    <w:name w:val="Cabeçalho Char"/>
    <w:qFormat/>
    <w:rsid w:val="008130dd"/>
    <w:rPr>
      <w:sz w:val="24"/>
      <w:szCs w:val="24"/>
    </w:rPr>
  </w:style>
  <w:style w:type="character" w:styleId="Ttulo1Char" w:customStyle="1">
    <w:name w:val="Título 1 Char"/>
    <w:qFormat/>
    <w:rsid w:val="003a0516"/>
    <w:rPr>
      <w:b/>
      <w:bCs/>
      <w:sz w:val="24"/>
      <w:szCs w:val="24"/>
    </w:rPr>
  </w:style>
  <w:style w:type="character" w:styleId="Nfase">
    <w:name w:val="Emphasis"/>
    <w:uiPriority w:val="20"/>
    <w:qFormat/>
    <w:rsid w:val="00ac51dc"/>
    <w:rPr>
      <w:i/>
      <w:iCs/>
    </w:rPr>
  </w:style>
  <w:style w:type="character" w:styleId="SubttuloChar" w:customStyle="1">
    <w:name w:val="Subtítulo Char"/>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link w:val="CabealhoChar"/>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suppressAutoHyphens w:val="true"/>
      <w:bidi w:val="0"/>
      <w:spacing w:before="0" w:after="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Application>LibreOffice/7.4.2.3$Windows_X86_64 LibreOffice_project/382eef1f22670f7f4118c8c2dd222ec7ad009daf</Application>
  <AppVersion>15.0000</AppVersion>
  <DocSecurity>0</DocSecurity>
  <Pages>26</Pages>
  <Words>11699</Words>
  <Characters>63519</Characters>
  <CharactersWithSpaces>75035</CharactersWithSpaces>
  <Paragraphs>418</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2021-01-14T14:26:00Z</dcterms:created>
  <dc:creator>CAMARA MUNICIPAL DE VEREADORES DE TRES PASSOS</dc:creator>
  <dc:description/>
  <dc:language>pt-BR</dc:language>
  <cp:lastModifiedBy/>
  <cp:lastPrinted>2022-04-19T14:25:49Z</cp:lastPrinted>
  <dcterms:modified xsi:type="dcterms:W3CDTF">2024-10-15T10:09:57Z</dcterms:modified>
  <cp:revision>124</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