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251</w:t>
      </w:r>
      <w:r>
        <w:rPr>
          <w:rFonts w:ascii="Arial" w:hAnsi="Arial"/>
          <w:b w:val="false"/>
          <w:bCs w:val="false"/>
        </w:rPr>
        <w:t>/2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ab/>
        <w:tab/>
        <w:tab/>
        <w:t xml:space="preserve">              </w:t>
        <w:tab/>
        <w:t xml:space="preserve">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18 de novembro de 2024.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forma do inciso VIII do art. 48 do Regimento Interno desta Casa Legislativa, a pedido da Comissão de Orçamento, Finanças e Infraestrutura Urbana e Rural, </w:t>
      </w:r>
      <w:r>
        <w:rPr>
          <w:rFonts w:ascii="Arial" w:hAnsi="Arial"/>
          <w:sz w:val="24"/>
          <w:szCs w:val="24"/>
        </w:rPr>
        <w:t>solicito</w:t>
      </w:r>
      <w:r>
        <w:rPr>
          <w:rFonts w:ascii="Arial" w:hAnsi="Arial"/>
          <w:sz w:val="24"/>
          <w:szCs w:val="24"/>
        </w:rPr>
        <w:t xml:space="preserve">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75</w:t>
      </w:r>
      <w:r>
        <w:rPr>
          <w:rFonts w:ascii="Arial" w:hAnsi="Arial"/>
          <w:sz w:val="24"/>
          <w:szCs w:val="24"/>
        </w:rPr>
        <w:t>, de 202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, que  estima a receita e fixa a despesa do Município para o exercício de 202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a manifestação do Executivo Municipal no sentido de alterá-lo, em todo ou em parte, por meio de Mensagem Retificativa, conforme sugerido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21.804/2024, bem como o envio a esta Casa Legislativa das atas de aprovação do Conselho Municipal de Saúde e da audiência pública.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Flavio Habitzreiter,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LibreOffice/7.4.2.3$Windows_X86_64 LibreOffice_project/382eef1f22670f7f4118c8c2dd222ec7ad009daf</Application>
  <AppVersion>15.0000</AppVersion>
  <Pages>1</Pages>
  <Words>161</Words>
  <Characters>869</Characters>
  <CharactersWithSpaces>1044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2024-11-18T08:17:53Z</dcterms:modified>
  <cp:revision>163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