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26670</wp:posOffset>
            </wp:positionV>
            <wp:extent cx="887730" cy="986155"/>
            <wp:effectExtent l="0" t="0" r="0" b="0"/>
            <wp:wrapSquare wrapText="right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0" w:left="284"/>
        <w:rPr>
          <w:lang w:val="es-PE"/>
        </w:rPr>
      </w:pPr>
      <w:r>
        <w:rPr>
          <w:lang w:val="es-P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Estado do Rio Grande do Sul</w:t>
      </w:r>
    </w:p>
    <w:p>
      <w:pPr>
        <w:pStyle w:val="Heading1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CÂMARA MUNICIPAL DE VEREADORES DE TRÊS PASSOS</w:t>
      </w:r>
    </w:p>
    <w:p>
      <w:pPr>
        <w:pStyle w:val="Normal"/>
        <w:rPr/>
      </w:pPr>
      <w:r>
        <w:rPr/>
      </w:r>
    </w:p>
    <w:p>
      <w:pPr>
        <w:pStyle w:val="BodyTextIndent"/>
        <w:ind w:hanging="2880" w:left="2700"/>
        <w:jc w:val="both"/>
        <w:rPr>
          <w:b/>
          <w:bCs/>
        </w:rPr>
      </w:pPr>
      <w:r>
        <w:rPr>
          <w:b/>
          <w:bCs/>
        </w:rPr>
        <w:t>ORIENTAÇÃO TÉCNICA</w:t>
      </w:r>
    </w:p>
    <w:p>
      <w:pPr>
        <w:pStyle w:val="BodyTextIndent"/>
        <w:ind w:hanging="2880" w:left="2700"/>
        <w:jc w:val="both"/>
        <w:rPr>
          <w:b/>
          <w:bCs/>
        </w:rPr>
      </w:pPr>
      <w:r>
        <w:rPr>
          <w:b/>
          <w:bCs/>
        </w:rPr>
      </w:r>
    </w:p>
    <w:p>
      <w:pPr>
        <w:pStyle w:val="BodyTextIndent"/>
        <w:ind w:firstLine="850" w:left="-142"/>
        <w:jc w:val="both"/>
        <w:rPr>
          <w:bCs/>
        </w:rPr>
      </w:pPr>
      <w:r>
        <w:rPr>
          <w:bCs/>
        </w:rPr>
        <w:t>A Comissão de Orçamento, Finanças e Infraestrutura, solicita orientação quanto ao Processo de Contas do Município referente ao exercício de 202</w:t>
      </w:r>
      <w:r>
        <w:rPr>
          <w:bCs/>
        </w:rPr>
        <w:t>1</w:t>
      </w:r>
      <w:r>
        <w:rPr>
          <w:bCs/>
        </w:rPr>
        <w:t xml:space="preserve">. </w:t>
      </w:r>
    </w:p>
    <w:p>
      <w:pPr>
        <w:pStyle w:val="BodyTextIndent"/>
        <w:ind w:firstLine="850" w:left="-142"/>
        <w:jc w:val="both"/>
        <w:rPr>
          <w:bCs/>
        </w:rPr>
      </w:pPr>
      <w:r>
        <w:rPr>
          <w:bCs/>
        </w:rPr>
        <w:t>O Tribunal de Contas do Rio Grande do Sul (TCE/RS) remeteu a esta Casa Legislativa o Processo de Contas nº Processo n. 00</w:t>
      </w:r>
      <w:r>
        <w:rPr>
          <w:bCs/>
        </w:rPr>
        <w:t>1440-02.00/21</w:t>
      </w:r>
      <w:r>
        <w:rPr>
          <w:bCs/>
        </w:rPr>
        <w:t>, relativo ao exercício de 202</w:t>
      </w:r>
      <w:r>
        <w:rPr>
          <w:bCs/>
        </w:rPr>
        <w:t>1</w:t>
      </w:r>
      <w:r>
        <w:rPr>
          <w:bCs/>
        </w:rPr>
        <w:t xml:space="preserve">, sendo que o parecer emitido neste foi lido na sessão ordinária do dia </w:t>
      </w:r>
      <w:r>
        <w:rPr>
          <w:bCs/>
        </w:rPr>
        <w:t>18</w:t>
      </w:r>
      <w:r>
        <w:rPr>
          <w:bCs/>
        </w:rPr>
        <w:t>/</w:t>
      </w:r>
      <w:r>
        <w:rPr>
          <w:bCs/>
        </w:rPr>
        <w:t>11</w:t>
      </w:r>
      <w:r>
        <w:rPr>
          <w:bCs/>
        </w:rPr>
        <w:t>/202</w:t>
      </w:r>
      <w:r>
        <w:rPr>
          <w:bCs/>
        </w:rPr>
        <w:t>4</w:t>
      </w:r>
      <w:r>
        <w:rPr>
          <w:bCs/>
        </w:rPr>
        <w:t xml:space="preserve">, oportunizando, dessa forma, a discussão prévia do mesmo aos Vereadores presentes na ocasião. </w:t>
      </w:r>
    </w:p>
    <w:p>
      <w:pPr>
        <w:pStyle w:val="BodyTextIndent"/>
        <w:ind w:firstLine="850" w:left="-142"/>
        <w:jc w:val="both"/>
        <w:rPr>
          <w:bCs/>
        </w:rPr>
      </w:pPr>
      <w:r>
        <w:rPr>
          <w:bCs/>
        </w:rPr>
        <w:t>Conforme consta nos autos do referido processo, a</w:t>
      </w:r>
      <w:r>
        <w:rPr/>
        <w:t xml:space="preserve"> Primeira Câmara do Tribunal de Contas do Estado do Rio Grande do Sul, reunida em Sessão Ordinária de </w:t>
      </w:r>
      <w:r>
        <w:rPr/>
        <w:t>25</w:t>
      </w:r>
      <w:r>
        <w:rPr/>
        <w:t xml:space="preserve"> de </w:t>
      </w:r>
      <w:r>
        <w:rPr/>
        <w:t>junho</w:t>
      </w:r>
      <w:r>
        <w:rPr/>
        <w:t xml:space="preserve"> de 202</w:t>
      </w:r>
      <w:r>
        <w:rPr/>
        <w:t>4</w:t>
      </w:r>
      <w:r>
        <w:rPr/>
        <w:t xml:space="preserve">, em cumprimento ao disposto nos parágrafos 1° e 2° do artigo 31 da Constituição Federal e artigo 71 da Constituição Estadual, </w:t>
      </w:r>
      <w:r>
        <w:rPr>
          <w:bCs/>
        </w:rPr>
        <w:t>assim decidiu a respeito das contas do exercício de 202</w:t>
      </w:r>
      <w:r>
        <w:rPr>
          <w:bCs/>
        </w:rPr>
        <w:t>1</w:t>
      </w:r>
      <w:r>
        <w:rPr>
          <w:bCs/>
        </w:rPr>
        <w:t>:</w:t>
      </w:r>
    </w:p>
    <w:p>
      <w:pPr>
        <w:pStyle w:val="BodyTextIndent"/>
        <w:ind w:firstLine="850" w:left="-142"/>
        <w:jc w:val="both"/>
        <w:rPr>
          <w:bCs/>
        </w:rPr>
      </w:pPr>
      <w:r>
        <w:rPr>
          <w:bCs/>
        </w:rPr>
      </w:r>
    </w:p>
    <w:p>
      <w:pPr>
        <w:pStyle w:val="ListParagraph"/>
        <w:ind w:firstLine="708" w:left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Decide: </w:t>
      </w:r>
    </w:p>
    <w:p>
      <w:pPr>
        <w:pStyle w:val="ListParagraph"/>
        <w:ind w:firstLine="708" w:left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– </w:t>
      </w:r>
      <w:r>
        <w:rPr>
          <w:bCs/>
          <w:sz w:val="20"/>
          <w:szCs w:val="20"/>
        </w:rPr>
        <w:t xml:space="preserve">Emitir, por unanimidade, </w:t>
      </w:r>
      <w:r>
        <w:rPr>
          <w:b/>
          <w:bCs/>
          <w:sz w:val="20"/>
          <w:szCs w:val="20"/>
        </w:rPr>
        <w:t>Parecer Favorável com ressalvas</w:t>
      </w:r>
      <w:r>
        <w:rPr>
          <w:bCs/>
          <w:sz w:val="20"/>
          <w:szCs w:val="20"/>
        </w:rPr>
        <w:t xml:space="preserve"> à aprovação das Contas Anuais do Administrador do Executivo Municipal de </w:t>
      </w:r>
      <w:r>
        <w:rPr>
          <w:b/>
          <w:bCs/>
          <w:sz w:val="20"/>
          <w:szCs w:val="20"/>
        </w:rPr>
        <w:t>Três Passos</w:t>
      </w:r>
      <w:r>
        <w:rPr>
          <w:bCs/>
          <w:sz w:val="20"/>
          <w:szCs w:val="20"/>
        </w:rPr>
        <w:t xml:space="preserve">, correspondentes ao exercício de </w:t>
      </w:r>
      <w:r>
        <w:rPr>
          <w:b/>
          <w:bCs/>
          <w:sz w:val="20"/>
          <w:szCs w:val="20"/>
        </w:rPr>
        <w:t>202</w:t>
      </w:r>
      <w:r>
        <w:rPr>
          <w:b/>
          <w:bCs/>
          <w:sz w:val="20"/>
          <w:szCs w:val="20"/>
        </w:rPr>
        <w:t>1</w:t>
      </w:r>
      <w:r>
        <w:rPr>
          <w:bCs/>
          <w:sz w:val="20"/>
          <w:szCs w:val="20"/>
        </w:rPr>
        <w:t xml:space="preserve">, gestão do Senhor </w:t>
      </w:r>
      <w:r>
        <w:rPr>
          <w:bCs/>
          <w:sz w:val="20"/>
          <w:szCs w:val="20"/>
        </w:rPr>
        <w:t xml:space="preserve">Arlei Luis Tomazini, nos termos do art. 75, II, do Regimento Interno deste Tribunal e no </w:t>
      </w:r>
      <w:r>
        <w:rPr>
          <w:bCs/>
          <w:sz w:val="20"/>
          <w:szCs w:val="20"/>
        </w:rPr>
        <w:t>artigo 2º da Resolução n. 1.142/2021 recomendando ao</w:t>
      </w:r>
      <w:r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 atua</w:t>
      </w:r>
      <w:r>
        <w:rPr>
          <w:bCs/>
          <w:sz w:val="20"/>
          <w:szCs w:val="20"/>
        </w:rPr>
        <w:t>is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Administradores que corrijam e evitem a reincidência dos apontes criticados nos autos;</w:t>
      </w:r>
    </w:p>
    <w:p>
      <w:pPr>
        <w:pStyle w:val="ListParagraph"/>
        <w:ind w:firstLine="708" w:left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(…)</w:t>
      </w:r>
    </w:p>
    <w:p>
      <w:pPr>
        <w:pStyle w:val="ListParagraph"/>
        <w:ind w:firstLine="708" w:left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ind w:firstLine="708" w:left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BodyTextIndent"/>
        <w:ind w:firstLine="850" w:left="-142"/>
        <w:jc w:val="both"/>
        <w:rPr/>
      </w:pPr>
      <w:r>
        <w:rPr>
          <w:bCs/>
        </w:rPr>
        <w:t xml:space="preserve">Diante disso e, em sequência, compete à Comissão de Orçamento, Finanças e Infraestrutura analisar o Processo de Contas do Município, bem como elaborar o seu parecer opinativo que será votado pelo plenário desta Casa Legislativa, conforme determina o art. 166 da Constituição Federal, bem como de acordo </w:t>
      </w:r>
      <w:r>
        <w:rPr>
          <w:bCs/>
          <w:shd w:fill="auto" w:val="clear"/>
        </w:rPr>
        <w:t xml:space="preserve">com o art. </w:t>
      </w:r>
      <w:r>
        <w:rPr>
          <w:bCs/>
          <w:shd w:fill="auto" w:val="clear"/>
        </w:rPr>
        <w:t>58</w:t>
      </w:r>
      <w:r>
        <w:rPr>
          <w:bCs/>
          <w:shd w:fill="auto" w:val="clear"/>
        </w:rPr>
        <w:t>, II</w:t>
      </w:r>
      <w:r>
        <w:rPr>
          <w:bCs/>
          <w:shd w:fill="auto" w:val="clear"/>
        </w:rPr>
        <w:t>I</w:t>
      </w:r>
      <w:r>
        <w:rPr>
          <w:bCs/>
          <w:shd w:fill="auto" w:val="clear"/>
        </w:rPr>
        <w:t>, “a”,  do Regimento Interno desta Casa Legislativa.</w:t>
      </w:r>
    </w:p>
    <w:p>
      <w:pPr>
        <w:pStyle w:val="Normal"/>
        <w:jc w:val="both"/>
        <w:rPr/>
      </w:pPr>
      <w:r>
        <w:rPr>
          <w:bCs/>
        </w:rPr>
        <w:tab/>
        <w:t xml:space="preserve">Importante referir que o julgamento das contas do prefeito, pela Câmara Municipal, com auxílio do Tribunal de Contas, é uma questão de extrema relevância, em virtude das consequências que podem advir desse julgamento, dependendo da decisão exarada. </w:t>
      </w:r>
    </w:p>
    <w:p>
      <w:pPr>
        <w:pStyle w:val="Normal"/>
        <w:jc w:val="both"/>
        <w:rPr/>
      </w:pPr>
      <w:r>
        <w:rPr>
          <w:bCs/>
        </w:rPr>
        <w:tab/>
        <w:t xml:space="preserve">Ao analisar as contas dos prefeitos municipais, o Tribunal de Contas emite parecer prévio pela aprovação ou desaprovação, posicionamento este que pode ser mantido ou revertido por esta Casa Legislativa, que é quem, efetivamente julga as contas de governo. </w:t>
      </w:r>
    </w:p>
    <w:p>
      <w:pPr>
        <w:pStyle w:val="Normal"/>
        <w:jc w:val="both"/>
        <w:rPr/>
      </w:pPr>
      <w:r>
        <w:rPr>
          <w:bCs/>
        </w:rPr>
        <w:tab/>
        <w:t xml:space="preserve">Confirmada a rejeição de contas, o prefeito (ou ex-prefeito) torna-se inelegível pelo prazo de oito anos. </w:t>
      </w:r>
    </w:p>
    <w:p>
      <w:pPr>
        <w:pStyle w:val="Normal"/>
        <w:jc w:val="both"/>
        <w:rPr/>
      </w:pPr>
      <w:r>
        <w:rPr>
          <w:bCs/>
        </w:rPr>
        <w:tab/>
        <w:t xml:space="preserve">O art. 31, § 1º da Constituição Federal estabelece que a fiscalização do Município será exercida pelo Poder Legislativo Municipal, mediante controle externo, e pelos sistemas de controle interno do Poder Executivo Municipal, já o § 2º, determina que o parecer prévio só deixará de prevalecer por dois terços dos membros da Câmara Municipal. </w:t>
      </w:r>
    </w:p>
    <w:p>
      <w:pPr>
        <w:pStyle w:val="Normal"/>
        <w:jc w:val="both"/>
        <w:rPr/>
      </w:pPr>
      <w:r>
        <w:rPr>
          <w:bCs/>
        </w:rPr>
        <w:tab/>
        <w:t xml:space="preserve">Recebida as contas prestadas pelo Prefeito, acompanhadas do Parecer Prévio em análise, este foi publicado no mural desta Casa legislativa e no jornal local, bem como foi divulgado no site da Câmara e na sequência encaminhado para a Comissão de Orçamento, Finanças Infraestrutura em que permaneceu por sessenta dias, à disposição de qualquer contribuinte a fim de questionar a respectiva legitimidade. Portanto, foram tomadas todas as medidas conforme determina </w:t>
      </w:r>
      <w:r>
        <w:rPr>
          <w:bCs/>
          <w:shd w:fill="auto" w:val="clear"/>
        </w:rPr>
        <w:t xml:space="preserve">o art. </w:t>
      </w:r>
      <w:r>
        <w:rPr>
          <w:bCs/>
          <w:shd w:fill="auto" w:val="clear"/>
        </w:rPr>
        <w:t>186</w:t>
      </w:r>
      <w:r>
        <w:rPr>
          <w:bCs/>
          <w:shd w:fill="auto" w:val="clear"/>
        </w:rPr>
        <w:t xml:space="preserve">, </w:t>
      </w:r>
      <w:r>
        <w:rPr>
          <w:bCs/>
          <w:shd w:fill="auto" w:val="clear"/>
        </w:rPr>
        <w:t xml:space="preserve">I, II e </w:t>
      </w:r>
      <w:r>
        <w:rPr>
          <w:bCs/>
          <w:shd w:fill="auto" w:val="clear"/>
        </w:rPr>
        <w:t xml:space="preserve">III, </w:t>
      </w:r>
      <w:r>
        <w:rPr>
          <w:bCs/>
        </w:rPr>
        <w:t xml:space="preserve">do Regimento Interno desta Casa Legislativa. 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Em seguida à Comissão de Orçamento, Finanças Infraestrutura Urbana e Rural, notificou os administradores da época, do recebimento do parecer prévio na Câmara Municipal para, querendo, no prazo de </w:t>
      </w:r>
      <w:r>
        <w:rPr>
          <w:bCs/>
        </w:rPr>
        <w:t>trinta</w:t>
      </w:r>
      <w:r>
        <w:rPr>
          <w:bCs/>
        </w:rPr>
        <w:t xml:space="preserve"> dias apresentar defesa às conclusões contidas no referido parecer, atendendo ao disposto no art. 1</w:t>
      </w:r>
      <w:r>
        <w:rPr>
          <w:bCs/>
        </w:rPr>
        <w:t>86, IV, “a”</w:t>
      </w:r>
      <w:r>
        <w:rPr>
          <w:bCs/>
        </w:rPr>
        <w:t xml:space="preserve"> do Regimento Interno. </w:t>
      </w:r>
    </w:p>
    <w:p>
      <w:pPr>
        <w:pStyle w:val="Normal"/>
        <w:jc w:val="both"/>
        <w:rPr/>
      </w:pPr>
      <w:r>
        <w:rPr>
          <w:bCs/>
        </w:rPr>
        <w:tab/>
        <w:t xml:space="preserve">Diante disso, verifica-se que todos os procedimentos legais foram adotados conforme determina o Regimento Interno desta Casa Legislativa, Constituição Estadual e Federal. </w:t>
      </w:r>
    </w:p>
    <w:p>
      <w:pPr>
        <w:pStyle w:val="Normal"/>
        <w:jc w:val="both"/>
        <w:rPr/>
      </w:pPr>
      <w:r>
        <w:rPr>
          <w:bCs/>
        </w:rPr>
        <w:tab/>
      </w:r>
      <w:r>
        <w:rPr>
          <w:bCs/>
        </w:rPr>
        <w:t>E</w:t>
      </w:r>
      <w:r>
        <w:rPr>
          <w:bCs/>
        </w:rPr>
        <w:t xml:space="preserve">sgotado o prazo da consulta pública e recebida a defesa ou encerrado o prazo, sem o exercício do direito de defesa, o presidente da Comissão de Orçamento, Finanças e Infraestrutura designará o relator, dentre seus membros titulares, para a elaboração de voto, no prazo de quinze dias, que poderá concluir </w:t>
      </w:r>
      <w:r>
        <w:rPr/>
        <w:t xml:space="preserve">pela concordância com o parecer prévio do Tribunal de Contas do Estado </w:t>
      </w:r>
      <w:r>
        <w:rPr/>
        <w:t xml:space="preserve">ou </w:t>
      </w:r>
      <w:r>
        <w:rPr>
          <w:bCs/>
        </w:rPr>
        <w:t xml:space="preserve">pela discordância do parecer prévio do Tribunal de Contas do Estado </w:t>
      </w:r>
      <w:r>
        <w:rPr>
          <w:bCs/>
        </w:rPr>
        <w:t>(art. 186, V, “a” e “b”).</w:t>
      </w:r>
    </w:p>
    <w:p>
      <w:pPr>
        <w:pStyle w:val="Normal"/>
        <w:jc w:val="both"/>
        <w:rPr/>
      </w:pPr>
      <w:r>
        <w:rPr/>
        <w:tab/>
      </w:r>
      <w:r>
        <w:rPr/>
        <w:t>A</w:t>
      </w:r>
      <w:r>
        <w:rPr/>
        <w:t>provado o voto na Comissão de Orçamento, Finanças e Infraestrutura, ele se converterá em parecer e, após a sua divulgação, pelo prazo de vinte e quatro horas, inclusive por meios eletrônicos, o processo será encaminhado para a ordem do dia da sessão plenária subsequente para julgamento.</w:t>
      </w:r>
    </w:p>
    <w:p>
      <w:pPr>
        <w:pStyle w:val="Normal"/>
        <w:jc w:val="both"/>
        <w:rPr/>
      </w:pPr>
      <w:r>
        <w:rPr/>
        <w:tab/>
        <w:t>O voto do vereador-relator, deverá, em anexo, conter projeto de decreto legislativo com o registro do resultado concluído em seu voto.</w:t>
      </w:r>
    </w:p>
    <w:p>
      <w:pPr>
        <w:pStyle w:val="Normal"/>
        <w:jc w:val="both"/>
        <w:rPr/>
      </w:pPr>
      <w:r>
        <w:rPr/>
        <w:tab/>
      </w:r>
      <w:r>
        <w:rPr/>
        <w:t>O</w:t>
      </w:r>
      <w:r>
        <w:rPr/>
        <w:t xml:space="preserve"> parecer prévio do Tribunal de Contas do Estado somente deixará de prevalecer mediante voto contrário de dois terços dos membros da Câmara.</w:t>
      </w:r>
    </w:p>
    <w:p>
      <w:pPr>
        <w:pStyle w:val="Normal"/>
        <w:jc w:val="both"/>
        <w:rPr/>
      </w:pPr>
      <w:r>
        <w:rPr/>
        <w:tab/>
      </w:r>
      <w:r>
        <w:rPr/>
        <w:t>O</w:t>
      </w:r>
      <w:r>
        <w:rPr/>
        <w:t xml:space="preserve"> resultado do julgamento das contas, com o respectivo decreto legislativo, será encaminhado ao Tribunal de Contas do Estado.</w:t>
      </w:r>
    </w:p>
    <w:p>
      <w:pPr>
        <w:pStyle w:val="Normal"/>
        <w:jc w:val="both"/>
        <w:rPr/>
      </w:pPr>
      <w:r>
        <w:rPr/>
        <w:tab/>
        <w:t xml:space="preserve">A Comissão de Constituição, Justiça, Redação e Bem-Estar Social, quando da redação final do projeto de decreto legislativo aprovado em plenário, corrigirá o texto do decreto legislativo, se o resultado da votação em plenário contrariar o parecer da Comissão de Orçamento, Finanças e Infraestrutura, </w:t>
      </w:r>
      <w:r>
        <w:rPr/>
        <w:t xml:space="preserve">conforme determina o art. 186, §2º do Regimento Interno.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center"/>
        <w:rPr/>
      </w:pPr>
      <w:r>
        <w:rPr/>
        <w:t xml:space="preserve">Três Passos, </w:t>
      </w:r>
      <w:r>
        <w:rPr/>
        <w:t>0</w:t>
      </w:r>
      <w:r>
        <w:rPr/>
        <w:t xml:space="preserve">6 de </w:t>
      </w:r>
      <w:r>
        <w:rPr/>
        <w:t>fevereiro</w:t>
      </w:r>
      <w:r>
        <w:rPr/>
        <w:t xml:space="preserve"> de 202</w:t>
      </w:r>
      <w:r>
        <w:rPr/>
        <w:t>4</w:t>
      </w:r>
      <w:r>
        <w:rPr/>
        <w:t>.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</w:t>
      </w:r>
    </w:p>
    <w:p>
      <w:pPr>
        <w:pStyle w:val="Normal"/>
        <w:jc w:val="center"/>
        <w:rPr/>
      </w:pPr>
      <w:r>
        <w:rPr>
          <w:b/>
          <w:bCs/>
        </w:rPr>
        <w:t xml:space="preserve">Cristina Käfer </w:t>
      </w:r>
    </w:p>
    <w:p>
      <w:pPr>
        <w:pStyle w:val="Normal"/>
        <w:jc w:val="center"/>
        <w:rPr/>
      </w:pPr>
      <w:r>
        <w:rPr/>
        <w:t xml:space="preserve">      </w:t>
      </w:r>
      <w:r>
        <w:rPr/>
        <w:t>Procuradora Jurídica</w:t>
      </w:r>
    </w:p>
    <w:p>
      <w:pPr>
        <w:pStyle w:val="Normal"/>
        <w:jc w:val="center"/>
        <w:rPr/>
      </w:pPr>
      <w:r>
        <w:rPr/>
        <w:t>OAB/RS 86.351</w:t>
      </w:r>
    </w:p>
    <w:sectPr>
      <w:type w:val="nextPage"/>
      <w:pgSz w:w="11906" w:h="16838"/>
      <w:pgMar w:left="1701" w:right="1701" w:gutter="0" w:header="0" w:top="1320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48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rsid w:val="006d248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6d2484"/>
    <w:rPr>
      <w:rFonts w:ascii="Arial" w:hAnsi="Arial" w:eastAsia="Times New Roman" w:cs="Arial"/>
      <w:b/>
      <w:bCs/>
      <w:kern w:val="2"/>
      <w:sz w:val="32"/>
      <w:szCs w:val="32"/>
      <w:lang w:eastAsia="pt-BR"/>
    </w:rPr>
  </w:style>
  <w:style w:type="character" w:styleId="RecuodecorpodetextoChar" w:customStyle="1">
    <w:name w:val="Recuo de corpo de texto Char"/>
    <w:basedOn w:val="DefaultParagraphFont"/>
    <w:qFormat/>
    <w:rsid w:val="006d2484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e3194"/>
    <w:rPr>
      <w:rFonts w:ascii="Segoe UI" w:hAnsi="Segoe UI" w:eastAsia="Times New Roman" w:cs="Segoe UI"/>
      <w:sz w:val="18"/>
      <w:szCs w:val="18"/>
      <w:lang w:eastAsia="pt-BR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cb6f1f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cb6f1f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RecuodecorpodetextoChar"/>
    <w:rsid w:val="006d2484"/>
    <w:pPr>
      <w:ind w:hanging="5580" w:left="558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e3194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4238"/>
    <w:pPr>
      <w:spacing w:before="0" w:after="0"/>
      <w:ind w:hanging="0" w:left="72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8A54F-1417-4BB2-9570-A1BEF45D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LibreOffice/25.2.1.2$Windows_X86_64 LibreOffice_project/d3abf4aee5fd705e4a92bba33a32f40bc4e56f49</Application>
  <AppVersion>15.0000</AppVersion>
  <Pages>2</Pages>
  <Words>835</Words>
  <Characters>4552</Characters>
  <CharactersWithSpaces>5392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2021-04-07T18:46:00Z</dcterms:created>
  <dc:creator>Usuário</dc:creator>
  <dc:description/>
  <dc:language>pt-BR</dc:language>
  <cp:lastModifiedBy/>
  <cp:lastPrinted>2025-03-17T16:51:25Z</cp:lastPrinted>
  <dcterms:modified xsi:type="dcterms:W3CDTF">2025-03-17T16:51:27Z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