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Excelentíssimo Senhor Prefeito Municipal de Três Passos</w:t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Arlei Luis Tomazoni</w:t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CÂMARA MUNICIPAL DE TRÊS PASSOS</w:t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AUTÓGRAFO N</w:t>
      </w:r>
      <w:r>
        <w:rPr>
          <w:rFonts w:ascii="Calibri" w:hAnsi="Calibri"/>
          <w:strike/>
          <w:sz w:val="24"/>
          <w:szCs w:val="24"/>
        </w:rPr>
        <w:t>º</w:t>
      </w:r>
      <w:r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21</w:t>
      </w:r>
      <w:r>
        <w:rPr>
          <w:rFonts w:ascii="Calibri" w:hAnsi="Calibri"/>
          <w:sz w:val="24"/>
          <w:szCs w:val="24"/>
        </w:rPr>
        <w:t xml:space="preserve"> DE 2025</w:t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Em 18 de fevereiro de 2025</w:t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Senhor Prefeito,</w:t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  <w:t xml:space="preserve">Dirijo-me a Vossa Excelência para comunicar que esta Câmara Municipal, na Sessão de </w:t>
      </w:r>
      <w:r>
        <w:rPr>
          <w:rFonts w:ascii="Calibri" w:hAnsi="Calibri"/>
          <w:strike w:val="false"/>
          <w:dstrike w:val="false"/>
          <w:sz w:val="24"/>
          <w:szCs w:val="24"/>
        </w:rPr>
        <w:t>17</w:t>
      </w:r>
      <w:r>
        <w:rPr>
          <w:rFonts w:ascii="Calibri" w:hAnsi="Calibri"/>
          <w:sz w:val="24"/>
          <w:szCs w:val="24"/>
        </w:rPr>
        <w:t xml:space="preserve"> de fevereiro de 2025, aprovou o PROJETO DE LEI ORDINÁRIA N</w:t>
      </w:r>
      <w:r>
        <w:rPr>
          <w:rFonts w:ascii="Calibri" w:hAnsi="Calibri"/>
          <w:strike/>
          <w:sz w:val="24"/>
          <w:szCs w:val="24"/>
        </w:rPr>
        <w:t>º</w:t>
      </w:r>
      <w:r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21</w:t>
      </w:r>
      <w:r>
        <w:rPr>
          <w:rFonts w:ascii="Calibri" w:hAnsi="Calibri"/>
          <w:sz w:val="24"/>
          <w:szCs w:val="24"/>
        </w:rPr>
        <w:t>, de 2025, de sua autoria, que “</w:t>
      </w:r>
      <w:r>
        <w:rPr>
          <w:rFonts w:ascii="Calibri" w:hAnsi="Calibri"/>
          <w:sz w:val="24"/>
          <w:szCs w:val="24"/>
        </w:rPr>
        <w:t>c</w:t>
      </w:r>
      <w:r>
        <w:rPr>
          <w:rFonts w:ascii="Calibri" w:hAnsi="Calibri"/>
          <w:sz w:val="24"/>
          <w:szCs w:val="24"/>
        </w:rPr>
        <w:t>oncede isenção de Imposto de Transmissão de Bens Imóveis - ITBI, para os imóveis integrantes do Programa Minha Casa Minha Vida Reconstrução”, seguindo a redação final para sanção ou veto nos termos do art. 72 da Lei Orgânica Municipal.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737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Vereador Flavio Habitzreiter</w:t>
      </w:r>
    </w:p>
    <w:p>
      <w:pPr>
        <w:pStyle w:val="Normal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Presidente da Câmara Municipal de Três Passos</w:t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center"/>
        <w:rPr>
          <w:rFonts w:ascii="Calibri" w:hAnsi="Calibri"/>
          <w:b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</w:r>
    </w:p>
    <w:p>
      <w:pPr>
        <w:pStyle w:val="Normal"/>
        <w:jc w:val="center"/>
        <w:rPr>
          <w:rFonts w:ascii="Calibri" w:hAnsi="Calibri"/>
          <w:b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</w:r>
    </w:p>
    <w:p>
      <w:pPr>
        <w:pStyle w:val="Normal"/>
        <w:jc w:val="center"/>
        <w:rPr>
          <w:rFonts w:ascii="Calibri" w:hAnsi="Calibri"/>
          <w:b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</w:r>
    </w:p>
    <w:p>
      <w:pPr>
        <w:pStyle w:val="Normal"/>
        <w:jc w:val="center"/>
        <w:rPr>
          <w:rFonts w:ascii="Calibri" w:hAnsi="Calibri"/>
          <w:b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</w:r>
    </w:p>
    <w:p>
      <w:pPr>
        <w:pStyle w:val="Normal"/>
        <w:jc w:val="center"/>
        <w:rPr>
          <w:rFonts w:ascii="Calibri" w:hAnsi="Calibri"/>
          <w:b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  <w:b w:val="false"/>
          <w:bCs w:val="false"/>
          <w:sz w:val="24"/>
          <w:szCs w:val="24"/>
        </w:rPr>
        <w:t>PROJETO DE LEI ORDINÁRIA N</w:t>
      </w:r>
      <w:r>
        <w:rPr>
          <w:rFonts w:ascii="Calibri" w:hAnsi="Calibri"/>
          <w:b w:val="false"/>
          <w:bCs w:val="false"/>
          <w:strike/>
          <w:sz w:val="24"/>
          <w:szCs w:val="24"/>
        </w:rPr>
        <w:t>º</w:t>
      </w:r>
      <w:r>
        <w:rPr>
          <w:rFonts w:ascii="Calibri" w:hAnsi="Calibri"/>
          <w:b w:val="false"/>
          <w:bCs w:val="false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sz w:val="24"/>
          <w:szCs w:val="24"/>
        </w:rPr>
        <w:t>21</w:t>
      </w:r>
      <w:r>
        <w:rPr>
          <w:rFonts w:ascii="Calibri" w:hAnsi="Calibri"/>
          <w:b w:val="false"/>
          <w:bCs w:val="false"/>
          <w:sz w:val="24"/>
          <w:szCs w:val="24"/>
        </w:rPr>
        <w:t xml:space="preserve">, DE </w:t>
      </w:r>
      <w:r>
        <w:rPr>
          <w:rFonts w:ascii="Calibri" w:hAnsi="Calibri"/>
          <w:b w:val="false"/>
          <w:bCs w:val="false"/>
          <w:sz w:val="24"/>
          <w:szCs w:val="24"/>
        </w:rPr>
        <w:t>6 DE FEVEREIRO</w:t>
      </w:r>
      <w:r>
        <w:rPr>
          <w:rFonts w:ascii="Calibri" w:hAnsi="Calibri"/>
          <w:b w:val="false"/>
          <w:bCs w:val="false"/>
          <w:sz w:val="24"/>
          <w:szCs w:val="24"/>
        </w:rPr>
        <w:t xml:space="preserve"> DE 2025</w:t>
      </w:r>
    </w:p>
    <w:p>
      <w:pPr>
        <w:pStyle w:val="Normal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ind w:left="4535" w:right="0" w:hanging="0"/>
        <w:jc w:val="both"/>
        <w:rPr>
          <w:rFonts w:ascii="Calibri" w:hAnsi="Calibri"/>
        </w:rPr>
      </w:pPr>
      <w:r>
        <w:rPr>
          <w:rFonts w:ascii="Calibri" w:hAnsi="Calibri"/>
          <w:sz w:val="24"/>
          <w:szCs w:val="24"/>
        </w:rPr>
        <w:t>Concede isenção de Imposto de Transmissão de Bens Imóveis - ITBI, para os imóveis integrantes do Programa Minha Casa Minha Vida Reconstrução.</w:t>
      </w:r>
    </w:p>
    <w:p>
      <w:pPr>
        <w:pStyle w:val="Corpodotexto"/>
        <w:spacing w:before="0" w:after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widowControl/>
        <w:tabs>
          <w:tab w:val="clear" w:pos="708"/>
          <w:tab w:val="left" w:pos="0" w:leader="none"/>
          <w:tab w:val="left" w:pos="1418" w:leader="none"/>
          <w:tab w:val="left" w:pos="4253" w:leader="none"/>
        </w:tabs>
        <w:suppressAutoHyphens w:val="true"/>
        <w:bidi w:val="0"/>
        <w:spacing w:before="0" w:after="0"/>
        <w:ind w:left="0" w:right="0" w:firstLine="737"/>
        <w:jc w:val="both"/>
        <w:rPr>
          <w:rFonts w:ascii="Calibri" w:hAnsi="Calibri"/>
        </w:rPr>
      </w:pPr>
      <w:r>
        <w:rPr>
          <w:rFonts w:cs="Calibri" w:ascii="Calibri" w:hAnsi="Calibri"/>
          <w:sz w:val="24"/>
          <w:szCs w:val="24"/>
        </w:rPr>
        <w:t xml:space="preserve">Art. 1º </w:t>
      </w:r>
      <w:r>
        <w:rPr>
          <w:rFonts w:eastAsia="NSimSun" w:cs="Arial" w:ascii="Calibri" w:hAnsi="Calibri"/>
          <w:color w:val="000000"/>
          <w:kern w:val="2"/>
          <w:sz w:val="24"/>
          <w:szCs w:val="24"/>
          <w:shd w:fill="FFFFFF" w:val="clear"/>
          <w:lang w:bidi="hi-IN"/>
        </w:rPr>
        <w:t>Ficam isentos do Imposto de Transmissão de Bens Imóveis - ITBI, os imóveis integrantes do Programa do Governo Federal denominado “Minha Casa Minha Vida Reconstrução”, nos termos da portaria do Ministério das Cidades MCID Nº 520, de 5 de junho de 2024, por força do estado de calamidade pública ocorrido no Estado do Rio Grande do Sul, nos termos do disposto no Decreto Legislativo nº 36, de 7 de maio de 2024.</w:t>
      </w:r>
    </w:p>
    <w:p>
      <w:pPr>
        <w:pStyle w:val="Normal"/>
        <w:widowControl/>
        <w:tabs>
          <w:tab w:val="clear" w:pos="708"/>
          <w:tab w:val="left" w:pos="0" w:leader="none"/>
          <w:tab w:val="left" w:pos="1418" w:leader="none"/>
          <w:tab w:val="left" w:pos="4253" w:leader="none"/>
        </w:tabs>
        <w:suppressAutoHyphens w:val="true"/>
        <w:bidi w:val="0"/>
        <w:spacing w:before="0" w:after="0"/>
        <w:ind w:left="0" w:right="0" w:firstLine="737"/>
        <w:jc w:val="both"/>
        <w:rPr>
          <w:rFonts w:ascii="Calibri" w:hAnsi="Calibri"/>
        </w:rPr>
      </w:pPr>
      <w:r>
        <w:rPr>
          <w:rFonts w:eastAsia="NSimSun" w:cs="Arial" w:ascii="Calibri" w:hAnsi="Calibri"/>
          <w:color w:val="000000"/>
          <w:kern w:val="2"/>
          <w:sz w:val="24"/>
          <w:szCs w:val="24"/>
          <w:shd w:fill="FFFFFF" w:val="clear"/>
          <w:lang w:bidi="hi-IN"/>
        </w:rPr>
        <w:t xml:space="preserve">Parágrafo único. A isenção de que trata o </w:t>
      </w:r>
      <w:r>
        <w:rPr>
          <w:rFonts w:eastAsia="NSimSun" w:cs="Arial" w:ascii="Calibri" w:hAnsi="Calibri"/>
          <w:i/>
          <w:iCs/>
          <w:color w:val="000000"/>
          <w:kern w:val="2"/>
          <w:sz w:val="24"/>
          <w:szCs w:val="24"/>
          <w:shd w:fill="FFFFFF" w:val="clear"/>
          <w:lang w:bidi="hi-IN"/>
        </w:rPr>
        <w:t>caput</w:t>
      </w:r>
      <w:r>
        <w:rPr>
          <w:rFonts w:eastAsia="NSimSun" w:cs="Arial" w:ascii="Calibri" w:hAnsi="Calibri"/>
          <w:color w:val="000000"/>
          <w:kern w:val="2"/>
          <w:sz w:val="24"/>
          <w:szCs w:val="24"/>
          <w:shd w:fill="FFFFFF" w:val="clear"/>
          <w:lang w:bidi="hi-IN"/>
        </w:rPr>
        <w:t xml:space="preserve"> dar-</w:t>
      </w:r>
      <w:r>
        <w:rPr>
          <w:rFonts w:eastAsia="NSimSun" w:cs="Arial" w:ascii="Calibri" w:hAnsi="Calibri"/>
          <w:color w:val="000000"/>
          <w:kern w:val="2"/>
          <w:sz w:val="24"/>
          <w:szCs w:val="24"/>
          <w:shd w:fill="FFFFFF" w:val="clear"/>
          <w:lang w:bidi="hi-IN"/>
        </w:rPr>
        <w:t>se-á</w:t>
      </w:r>
      <w:r>
        <w:rPr>
          <w:rFonts w:eastAsia="NSimSun" w:cs="Arial" w:ascii="Calibri" w:hAnsi="Calibri"/>
          <w:color w:val="000000"/>
          <w:kern w:val="2"/>
          <w:sz w:val="24"/>
          <w:szCs w:val="24"/>
          <w:shd w:fill="FFFFFF" w:val="clear"/>
          <w:lang w:bidi="hi-IN"/>
        </w:rPr>
        <w:t xml:space="preserve"> de forma permanente e incondicionada, enquanto perdurarem as obrigações contratuais do beneficiário do Programa </w:t>
      </w:r>
      <w:r>
        <w:rPr>
          <w:rFonts w:eastAsia="NSimSun" w:cs="Arial" w:ascii="Calibri" w:hAnsi="Calibri"/>
          <w:color w:val="000000"/>
          <w:kern w:val="2"/>
          <w:sz w:val="24"/>
          <w:szCs w:val="24"/>
          <w:shd w:fill="FFFFFF" w:val="clear"/>
          <w:lang w:bidi="hi-IN"/>
        </w:rPr>
        <w:t>“Minha Casa Minha Vida Reconstrução”.</w:t>
      </w:r>
    </w:p>
    <w:p>
      <w:pPr>
        <w:pStyle w:val="Normal"/>
        <w:widowControl/>
        <w:tabs>
          <w:tab w:val="clear" w:pos="708"/>
          <w:tab w:val="left" w:pos="0" w:leader="none"/>
          <w:tab w:val="left" w:pos="1418" w:leader="none"/>
          <w:tab w:val="left" w:pos="4253" w:leader="none"/>
        </w:tabs>
        <w:suppressAutoHyphens w:val="true"/>
        <w:bidi w:val="0"/>
        <w:spacing w:before="0" w:after="0"/>
        <w:ind w:left="0" w:right="0" w:firstLine="737"/>
        <w:jc w:val="both"/>
        <w:rPr>
          <w:rFonts w:ascii="Calibri" w:hAnsi="Calibri"/>
        </w:rPr>
      </w:pPr>
      <w:r>
        <w:rPr/>
      </w:r>
    </w:p>
    <w:p>
      <w:pPr>
        <w:pStyle w:val="Normal"/>
        <w:widowControl/>
        <w:tabs>
          <w:tab w:val="clear" w:pos="708"/>
          <w:tab w:val="left" w:pos="0" w:leader="none"/>
          <w:tab w:val="left" w:pos="1418" w:leader="none"/>
          <w:tab w:val="left" w:pos="4253" w:leader="none"/>
        </w:tabs>
        <w:suppressAutoHyphens w:val="true"/>
        <w:bidi w:val="0"/>
        <w:spacing w:before="0" w:after="0"/>
        <w:ind w:left="0" w:right="0" w:firstLine="737"/>
        <w:jc w:val="both"/>
        <w:rPr>
          <w:rFonts w:ascii="Calibri" w:hAnsi="Calibri"/>
        </w:rPr>
      </w:pPr>
      <w:r>
        <w:rPr>
          <w:rFonts w:eastAsia="NSimSun" w:cs="Arial" w:ascii="Calibri" w:hAnsi="Calibri"/>
          <w:color w:val="000000"/>
          <w:kern w:val="2"/>
          <w:sz w:val="24"/>
          <w:szCs w:val="24"/>
          <w:shd w:fill="FFFFFF" w:val="clear"/>
          <w:lang w:bidi="hi-IN"/>
        </w:rPr>
        <w:t>Art. 2º Esta Lei entra em vigor na data de sua publicação.</w:t>
      </w:r>
    </w:p>
    <w:sectPr>
      <w:headerReference w:type="default" r:id="rId2"/>
      <w:footerReference w:type="default" r:id="rId3"/>
      <w:type w:val="nextPage"/>
      <w:pgSz w:w="11906" w:h="16838"/>
      <w:pgMar w:left="1417" w:right="851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LinkdaInternet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0" distT="0" distB="0" distL="114935" distR="114935" simplePos="0" locked="0" layoutInCell="0" allowOverlap="1" relativeHeight="3">
          <wp:simplePos x="0" y="0"/>
          <wp:positionH relativeFrom="column">
            <wp:posOffset>2599055</wp:posOffset>
          </wp:positionH>
          <wp:positionV relativeFrom="paragraph">
            <wp:posOffset>-105410</wp:posOffset>
          </wp:positionV>
          <wp:extent cx="785495" cy="1128395"/>
          <wp:effectExtent l="0" t="0" r="0" b="0"/>
          <wp:wrapSquare wrapText="largest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27" t="-356" r="-427" b="-356"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11283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;comic" w:hAnsi="Algerian;comic" w:cs="Algerian;comic"/>
        <w:b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 w:val="true"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eastAsia=";Calibri" w:cs=";Calibri"/>
      <w:color w:val="2E74B5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numPr>
        <w:ilvl w:val="4"/>
        <w:numId w:val="1"/>
      </w:numPr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0"/>
    </w:rPr>
  </w:style>
  <w:style w:type="character" w:styleId="Fontepargpadro">
    <w:name w:val="Fonte parág. padrão"/>
    <w:qFormat/>
    <w:rPr/>
  </w:style>
  <w:style w:type="character" w:styleId="DefaultParagraphFont">
    <w:name w:val="Default Paragraph Font"/>
    <w:qFormat/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RodapChar">
    <w:name w:val="Rodapé Char"/>
    <w:qFormat/>
    <w:rPr>
      <w:sz w:val="24"/>
      <w:szCs w:val="24"/>
    </w:rPr>
  </w:style>
  <w:style w:type="character" w:styleId="LinkdaInternet">
    <w:name w:val="Hyperlink"/>
    <w:rPr>
      <w:color w:val="0000FF"/>
      <w:u w:val="single"/>
    </w:rPr>
  </w:style>
  <w:style w:type="character" w:styleId="Linkdainternetvisitado">
    <w:name w:val="FollowedHyperlink"/>
    <w:rPr>
      <w:color w:val="800080"/>
      <w:u w:val="single"/>
    </w:rPr>
  </w:style>
  <w:style w:type="character" w:styleId="CorpodetextoChar">
    <w:name w:val="Corpo de texto Char"/>
    <w:qFormat/>
    <w:rPr>
      <w:sz w:val="28"/>
    </w:rPr>
  </w:style>
  <w:style w:type="character" w:styleId="Corpodetexto2Char">
    <w:name w:val="Corpo de texto 2 Char"/>
    <w:qFormat/>
    <w:rPr>
      <w:sz w:val="24"/>
      <w:szCs w:val="24"/>
    </w:rPr>
  </w:style>
  <w:style w:type="character" w:styleId="TextodebaloChar">
    <w:name w:val="Texto de balão Char"/>
    <w:qFormat/>
    <w:rPr>
      <w:rFonts w:ascii="Tahoma" w:hAnsi="Tahoma" w:eastAsia="Batang;바탕" w:cs="Tahoma"/>
      <w:sz w:val="16"/>
      <w:szCs w:val="16"/>
    </w:rPr>
  </w:style>
  <w:style w:type="character" w:styleId="Corpodetexto3Char">
    <w:name w:val="Corpo de texto 3 Char"/>
    <w:qFormat/>
    <w:rPr>
      <w:sz w:val="16"/>
      <w:szCs w:val="16"/>
    </w:rPr>
  </w:style>
  <w:style w:type="character" w:styleId="Recuodecorpodetexto3Char">
    <w:name w:val="Recuo de corpo de texto 3 Char"/>
    <w:qFormat/>
    <w:rPr>
      <w:sz w:val="16"/>
      <w:szCs w:val="16"/>
    </w:rPr>
  </w:style>
  <w:style w:type="character" w:styleId="RecuodecorpodetextoChar">
    <w:name w:val="Recuo de corpo de texto Char"/>
    <w:qFormat/>
    <w:rPr>
      <w:sz w:val="28"/>
      <w:szCs w:val="24"/>
    </w:rPr>
  </w:style>
  <w:style w:type="character" w:styleId="Recuodecorpodetexto2Char">
    <w:name w:val="Recuo de corpo de texto 2 Char"/>
    <w:qFormat/>
    <w:rPr>
      <w:sz w:val="24"/>
      <w:szCs w:val="24"/>
    </w:rPr>
  </w:style>
  <w:style w:type="character" w:styleId="CabealhoChar">
    <w:name w:val="Cabeçalho Char"/>
    <w:qFormat/>
    <w:rPr>
      <w:sz w:val="24"/>
      <w:szCs w:val="24"/>
    </w:rPr>
  </w:style>
  <w:style w:type="character" w:styleId="Ttulo1Char">
    <w:name w:val="Título 1 Char"/>
    <w:qFormat/>
    <w:rPr>
      <w:b/>
      <w:bCs/>
      <w:sz w:val="24"/>
      <w:szCs w:val="24"/>
    </w:rPr>
  </w:style>
  <w:style w:type="character" w:styleId="Nfase">
    <w:name w:val="Emphasis"/>
    <w:qFormat/>
    <w:rPr>
      <w:i/>
      <w:iCs/>
    </w:rPr>
  </w:style>
  <w:style w:type="character" w:styleId="SubttuloChar">
    <w:name w:val="Subtítulo Char"/>
    <w:qFormat/>
    <w:rPr>
      <w:rFonts w:ascii="Arial" w:hAnsi="Arial" w:cs="Arial"/>
      <w:kern w:val="2"/>
      <w:sz w:val="22"/>
      <w:szCs w:val="24"/>
      <w:lang w:val="pt-BR"/>
    </w:rPr>
  </w:style>
  <w:style w:type="character" w:styleId="Badge">
    <w:name w:val="badge"/>
    <w:qFormat/>
    <w:rPr/>
  </w:style>
  <w:style w:type="character" w:styleId="Appleconvertedspace">
    <w:name w:val="apple-converted-space"/>
    <w:qFormat/>
    <w:rPr/>
  </w:style>
  <w:style w:type="character" w:styleId="A3">
    <w:name w:val="A3"/>
    <w:qFormat/>
    <w:rPr>
      <w:color w:val="000000"/>
      <w:sz w:val="18"/>
      <w:szCs w:val="18"/>
    </w:rPr>
  </w:style>
  <w:style w:type="character" w:styleId="Ttulo2Char">
    <w:name w:val="Título 2 Char"/>
    <w:qFormat/>
    <w:rPr>
      <w:rFonts w:ascii="Calibri Light" w:hAnsi="Calibri Light" w:eastAsia=";Calibri" w:cs=";Calibri"/>
      <w:color w:val="2E74B5"/>
      <w:sz w:val="26"/>
      <w:szCs w:val="26"/>
    </w:rPr>
  </w:style>
  <w:style w:type="character" w:styleId="T1">
    <w:name w:val="t1"/>
    <w:basedOn w:val="DefaultParagraphFont"/>
    <w:qFormat/>
    <w:rPr/>
  </w:style>
  <w:style w:type="character" w:styleId="Caracteresdenotaderodap">
    <w:name w:val="Caracteres de nota de rodapé"/>
    <w:qFormat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WWCaracteresdenotaderodap">
    <w:name w:val="WW-Caracteres de nota de rodapé"/>
    <w:qFormat/>
    <w:rPr>
      <w:vertAlign w:val="superscript"/>
    </w:rPr>
  </w:style>
  <w:style w:type="character" w:styleId="Caracteresdenotadefim">
    <w:name w:val="Caracteres de nota de fim"/>
    <w:qFormat/>
    <w:rPr>
      <w:vertAlign w:val="superscript"/>
    </w:rPr>
  </w:style>
  <w:style w:type="character" w:styleId="Refdenotadefim">
    <w:name w:val="Ref. de nota de fim"/>
    <w:qFormat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character" w:styleId="Refdenotaderodap">
    <w:name w:val="Ref. de nota de rodapé"/>
    <w:qFormat/>
    <w:rPr>
      <w:vertAlign w:val="superscript"/>
    </w:rPr>
  </w:style>
  <w:style w:type="character" w:styleId="Strong">
    <w:name w:val="Strong"/>
    <w:qFormat/>
    <w:rPr>
      <w:b/>
      <w:bCs/>
    </w:rPr>
  </w:style>
  <w:style w:type="paragraph" w:styleId="Ttulo">
    <w:name w:val="Título"/>
    <w:basedOn w:val="Normal"/>
    <w:next w:val="Corpodotexto"/>
    <w:qFormat/>
    <w:pPr>
      <w:widowControl w:val="false"/>
      <w:spacing w:lineRule="exact" w:line="360"/>
      <w:jc w:val="center"/>
    </w:pPr>
    <w:rPr>
      <w:rFonts w:ascii="Arial" w:hAnsi="Arial" w:cs="Arial"/>
      <w:b/>
      <w:sz w:val="32"/>
      <w:szCs w:val="20"/>
    </w:rPr>
  </w:style>
  <w:style w:type="paragraph" w:styleId="Corpodotexto">
    <w:name w:val="Body Text"/>
    <w:basedOn w:val="Normal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21">
    <w:name w:val="Título2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Ttulo11">
    <w:name w:val="Título1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orpodotextorecuado">
    <w:name w:val="Body Text Indent"/>
    <w:basedOn w:val="Normal"/>
    <w:pPr>
      <w:ind w:left="-180" w:right="0" w:hanging="0"/>
      <w:jc w:val="both"/>
    </w:pPr>
    <w:rPr>
      <w:sz w:val="2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 w:right="0" w:hanging="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pPr>
      <w:spacing w:before="0" w:after="120"/>
      <w:ind w:left="283" w:right="0" w:hanging="0"/>
    </w:pPr>
    <w:rPr>
      <w:sz w:val="16"/>
      <w:szCs w:val="16"/>
    </w:rPr>
  </w:style>
  <w:style w:type="paragraph" w:styleId="BodyText21">
    <w:name w:val="Body Text 21"/>
    <w:basedOn w:val="Normal"/>
    <w:qFormat/>
    <w:pPr>
      <w:spacing w:lineRule="auto" w:line="360" w:before="10" w:after="10"/>
      <w:jc w:val="both"/>
    </w:pPr>
    <w:rPr>
      <w:rFonts w:ascii="Arial" w:hAnsi="Arial" w:cs="Arial"/>
      <w:szCs w:val="20"/>
    </w:rPr>
  </w:style>
  <w:style w:type="paragraph" w:styleId="NormalWeb">
    <w:name w:val="Normal (Web)"/>
    <w:basedOn w:val="Normal"/>
    <w:qFormat/>
    <w:pPr/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Padro">
    <w:name w:val="Padrão"/>
    <w:qFormat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zh-CN" w:bidi="ar-SA"/>
    </w:rPr>
  </w:style>
  <w:style w:type="paragraph" w:styleId="Pa6">
    <w:name w:val="Pa6"/>
    <w:basedOn w:val="Normal"/>
    <w:next w:val="Normal"/>
    <w:qFormat/>
    <w:pPr>
      <w:spacing w:lineRule="atLeast" w:line="221"/>
    </w:pPr>
    <w:rPr>
      <w:rFonts w:ascii="FGOUYJ+RotisSemiSerif" w:hAnsi="FGOUYJ+RotisSemiSerif" w:cs="FGOUYJ+RotisSemiSerif"/>
    </w:rPr>
  </w:style>
  <w:style w:type="paragraph" w:styleId="BalloonText">
    <w:name w:val="Balloon Text"/>
    <w:basedOn w:val="Normal"/>
    <w:qFormat/>
    <w:pPr/>
    <w:rPr>
      <w:rFonts w:ascii="Tahoma" w:hAnsi="Tahoma" w:eastAsia="Batang;바탕" w:cs="Tahoma"/>
      <w:sz w:val="16"/>
      <w:szCs w:val="16"/>
    </w:rPr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/>
  </w:style>
  <w:style w:type="paragraph" w:styleId="Artigo">
    <w:name w:val="artigo"/>
    <w:basedOn w:val="Normal"/>
    <w:qFormat/>
    <w:pPr>
      <w:spacing w:before="280" w:after="28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Subttulo">
    <w:name w:val="Subtitle"/>
    <w:basedOn w:val="Normal"/>
    <w:next w:val="Normal"/>
    <w:qFormat/>
    <w:pPr>
      <w:spacing w:lineRule="auto" w:line="276" w:before="120" w:after="120"/>
      <w:ind w:left="1416" w:right="0" w:hanging="0"/>
      <w:jc w:val="both"/>
    </w:pPr>
    <w:rPr>
      <w:rFonts w:ascii="Arial" w:hAnsi="Arial" w:cs="Arial"/>
      <w:kern w:val="2"/>
      <w:sz w:val="22"/>
    </w:rPr>
  </w:style>
  <w:style w:type="paragraph" w:styleId="Texto1">
    <w:name w:val="texto1"/>
    <w:basedOn w:val="Normal"/>
    <w:qFormat/>
    <w:pPr>
      <w:spacing w:before="280" w:after="280"/>
    </w:pPr>
    <w:rPr/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zh-CN" w:bidi="ar-SA"/>
    </w:rPr>
  </w:style>
  <w:style w:type="paragraph" w:styleId="Contedodatabela">
    <w:name w:val="Conteúdo da tabela"/>
    <w:basedOn w:val="Normal"/>
    <w:qFormat/>
    <w:pPr>
      <w:widowControl w:val="false"/>
      <w:suppressLineNumbers/>
      <w:spacing w:lineRule="auto" w:line="252" w:before="0" w:after="160"/>
    </w:pPr>
    <w:rPr>
      <w:rFonts w:ascii="Calibri" w:hAnsi="Calibri" w:eastAsia="Calibri" w:cs="font255"/>
      <w:sz w:val="22"/>
      <w:szCs w:val="22"/>
    </w:rPr>
  </w:style>
  <w:style w:type="paragraph" w:styleId="Standard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/>
      <w:color w:val="auto"/>
      <w:kern w:val="0"/>
      <w:sz w:val="20"/>
      <w:szCs w:val="20"/>
      <w:lang w:val="pt-BR" w:eastAsia="zh-CN" w:bidi="ar-SA"/>
    </w:rPr>
  </w:style>
  <w:style w:type="paragraph" w:styleId="Notadefim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Douparagraph">
    <w:name w:val="dou-paragraph"/>
    <w:basedOn w:val="Normal"/>
    <w:qFormat/>
    <w:pPr>
      <w:spacing w:before="280" w:after="280"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1183</TotalTime>
  <Application>LibreOffice/7.4.2.3$Windows_X86_64 LibreOffice_project/382eef1f22670f7f4118c8c2dd222ec7ad009daf</Application>
  <AppVersion>15.0000</AppVersion>
  <Pages>2</Pages>
  <Words>286</Words>
  <Characters>1471</Characters>
  <CharactersWithSpaces>1745</CharactersWithSpaces>
  <Paragraphs>18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2024-06-14T05:34:00Z</dcterms:created>
  <dc:creator>CAMARA MUNICIPAL DE VEREADORES DE TRES PASSOS</dc:creator>
  <dc:description/>
  <dc:language>pt-BR</dc:language>
  <cp:lastModifiedBy/>
  <dcterms:modified xsi:type="dcterms:W3CDTF">2025-02-18T15:43:04Z</dcterms:modified>
  <cp:revision>501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