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67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27 de maio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26 de maio de 2025, aprovou o PROJETO DE LEI Nº 62, de 2025, de sua autoria, que “a</w:t>
      </w:r>
      <w:r>
        <w:rPr>
          <w:rFonts w:cs="Arial" w:ascii="Calibri" w:hAnsi="Calibri" w:asciiTheme="minorHAnsi" w:hAnsiTheme="minorHAnsi"/>
        </w:rPr>
        <w:t xml:space="preserve">utoriza alteração da LOA, exercício 2025, e abertura de crédito especial no valor de até R$ 78.575,00 (setenta e oito mil, quinhentos e setenta e cinco reais)”, 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/>
      </w:pPr>
      <w:r>
        <w:rPr>
          <w:rFonts w:ascii="Calibri" w:hAnsi="Calibri"/>
        </w:rPr>
        <w:t>PROJETO DE LEI Nº 62, DE 14 DE MAIO DE 2025</w:t>
      </w:r>
    </w:p>
    <w:p>
      <w:pPr>
        <w:pStyle w:val="Normal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Autoriza alteração da LOA, exercício 2025, e abertura de crédito especial no valor de até R$ 78.575,00 (setenta e oito mil, quinhentos e setenta e cinco reais).</w:t>
      </w:r>
    </w:p>
    <w:p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shd w:fill="FFFFFF" w:val="clear"/>
        </w:rPr>
        <w:t xml:space="preserve">Art. 1º </w:t>
      </w: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Fica autorizada a abertura de crédito especial na Lei Orçamentária Anual, conforme segue: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Órgão 009– SECRETARIA MUNICIPAL DE SAÚDE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Unidade – 01 – Fundo Municipal de Saúde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Programa: 172 – Serviços de Atenção Especializada em Saúde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Função/Subfunção: 10/301 – Saúde/Atenção Básica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Proj/Ativ. 2.084 – Manutenção da Frota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Despesa: 4.4.90.39.00.00.00.00.2.621 – OUTROS SERVIÇOS DE TERCEIROS – PESSOA JURÍDICA – R$ 78.575,00.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Art. 2º Para a cobertura do crédito especial autorizado servirá de fonte de custeio o Superávit Financeiro do recurso 2.621 – R$ 78.575,00 (setenta e oito mil, quinhentos e setenta e cinco reais).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Art. 3º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LibreOffice/25.2.2.2$Windows_X86_64 LibreOffice_project/7370d4be9e3cf6031a51beef54ff3bda878e3fac</Application>
  <AppVersion>15.0000</AppVersion>
  <Pages>2</Pages>
  <Words>306</Words>
  <Characters>1652</Characters>
  <CharactersWithSpaces>1951</CharactersWithSpaces>
  <Paragraphs>28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2025-05-27T16:02:48Z</cp:lastPrinted>
  <dcterms:modified xsi:type="dcterms:W3CDTF">2025-05-27T16:23:03Z</dcterms:modified>
  <cp:revision>75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