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162/25</w:t>
        <w:tab/>
        <w:tab/>
        <w:tab/>
        <w:tab/>
        <w:t xml:space="preserve">                     Três Passos, 6 de junho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 Comissão de Orçamento, Finanças e Infraestrutura,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61, de 2025, que institui a obrigatoriedade da microchipagem de cães e gatos para a identificação e registro no Município de Três Passos e dá outras providências, as seguintes informações: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1.-) Se existe um levantamento/estimativa de quantos cães e gatos existem atualmente no nosso município.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2.-) Se há uma estimativa do valor de cada </w:t>
      </w:r>
      <w:r>
        <w:rPr>
          <w:rFonts w:ascii="Arial" w:hAnsi="Arial"/>
          <w:shd w:fill="auto" w:val="clear"/>
        </w:rPr>
        <w:t>microchipagem, a ser realizada pela SeMMa, de forma gratuita, ou por Unidade Registradora, a ser paga, de forma particular, pelo munícipe.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3.-) Se há previsão orçamentária ou estimativa de impacto orçamentário financeiro para custear a despesa referida no art. 6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61, de 2025, relativo à oferta gratuita de microchipagem pela SeMMA.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LibreOffice/25.2.2.2$Windows_X86_64 LibreOffice_project/7370d4be9e3cf6031a51beef54ff3bda878e3fac</Application>
  <AppVersion>15.0000</AppVersion>
  <Pages>1</Pages>
  <Words>228</Words>
  <Characters>1277</Characters>
  <CharactersWithSpaces>1520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2025-06-06T09:52:26Z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