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130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Em 16 de outubro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>Dirijo-me a Vossa Excelência para comunicar que esta Câmara Municipal, na Sessão de 15 de outubro de 2025, aprovou o PROJETO DE LEI Nº 120, de 2025, de sua autoria, que “a</w:t>
      </w:r>
      <w:r>
        <w:rPr>
          <w:rFonts w:cs="Arial" w:ascii="Calibri" w:hAnsi="Calibri"/>
          <w:sz w:val="24"/>
          <w:szCs w:val="24"/>
        </w:rPr>
        <w:t xml:space="preserve">ltera a Lei nº 5.496, de 17 de setembro de 2019, que dispõe sobre a reestruturação do plano de classificação de cargos e funções, criação e extinção de cargos, estabelece o plano de pagamento”,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120, DE 1º DE OUTUBRO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Altera a Lei nº 5.496, de 17 de setembro de 2019, que dispõe sobre a reestruturação do plano de classificação de cargos e funções, para extinguir o cargo de supervisor geral de iluminação e criar o cargo de diretor de iluminação.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>Art. 1º A</w:t>
      </w:r>
      <w:r>
        <w:rPr>
          <w:rFonts w:cs="Arial" w:ascii="Calibri" w:hAnsi="Calibri"/>
          <w:color w:val="auto"/>
          <w:sz w:val="24"/>
          <w:szCs w:val="24"/>
        </w:rPr>
        <w:t xml:space="preserve"> Lei nº 5.496, de 17 de setembro de 2019, passa a vigorar com as seguintes alterações: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"Art. 3º...........…………………………………..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…………………………………………………………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III - Órgãos Fins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...........……………………………………………...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 Secretaria Municipal de Obras e Viação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1.1. Assessoria de Acompanhamento e Execução</w:t>
      </w:r>
    </w:p>
    <w:p>
      <w:pPr>
        <w:pStyle w:val="Normal"/>
        <w:ind w:firstLine="737"/>
        <w:jc w:val="both"/>
        <w:rPr>
          <w:rFonts w:ascii="Calibri" w:hAnsi="Calibri" w:cs="Arial"/>
          <w:color w:val="auto"/>
          <w:sz w:val="24"/>
          <w:szCs w:val="24"/>
          <w:highlight w:val="none"/>
          <w:shd w:fill="auto" w:val="clear"/>
        </w:rPr>
      </w:pPr>
      <w:r>
        <w:rPr>
          <w:rFonts w:cs="Arial" w:ascii="Calibri" w:hAnsi="Calibri"/>
          <w:color w:val="000000"/>
          <w:sz w:val="24"/>
          <w:szCs w:val="24"/>
          <w:shd w:fill="auto" w:val="clear"/>
        </w:rPr>
        <w:t xml:space="preserve">1.2.1. Divisão de Obras </w:t>
      </w:r>
    </w:p>
    <w:p>
      <w:pPr>
        <w:pStyle w:val="Normal"/>
        <w:ind w:firstLine="737"/>
        <w:jc w:val="both"/>
        <w:rPr>
          <w:rFonts w:ascii="Calibri" w:hAnsi="Calibri" w:cs="Arial"/>
          <w:color w:val="auto"/>
          <w:sz w:val="24"/>
          <w:szCs w:val="24"/>
          <w:highlight w:val="none"/>
          <w:shd w:fill="auto" w:val="clear"/>
        </w:rPr>
      </w:pPr>
      <w:r>
        <w:rPr>
          <w:rFonts w:cs="Arial" w:ascii="Calibri" w:hAnsi="Calibri"/>
          <w:color w:val="000000"/>
          <w:sz w:val="24"/>
          <w:szCs w:val="24"/>
          <w:shd w:fill="auto" w:val="clear"/>
        </w:rPr>
        <w:t>1.2.2. Divisão de Iluminação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1.2.3. Setor Geral de Serviços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1.2.3.1 Setor de Serviços de Recuperação e Pavimentação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1.2.4 Setor Geral de Serviços Urbanos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1.3. Divisão Geral de Trânsito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1.3.1 Setor Geral de Sinalização Viária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…………………………………………………………</w:t>
      </w:r>
      <w:r>
        <w:rPr>
          <w:rFonts w:cs="Arial" w:ascii="Calibri" w:hAnsi="Calibri"/>
          <w:color w:val="auto"/>
          <w:sz w:val="24"/>
          <w:szCs w:val="24"/>
        </w:rPr>
        <w:t>.” 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“</w:t>
      </w:r>
      <w:r>
        <w:rPr>
          <w:rFonts w:cs="Arial" w:ascii="Calibri" w:hAnsi="Calibri"/>
          <w:color w:val="auto"/>
          <w:sz w:val="24"/>
          <w:szCs w:val="24"/>
        </w:rPr>
        <w:t>Art. 8º .……………………………………………...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tbl>
      <w:tblPr>
        <w:tblW w:w="5783" w:type="dxa"/>
        <w:jc w:val="left"/>
        <w:tblInd w:w="886" w:type="dxa"/>
        <w:tblLayout w:type="fixed"/>
        <w:tblCellMar>
          <w:top w:w="75" w:type="dxa"/>
          <w:left w:w="120" w:type="dxa"/>
          <w:bottom w:w="75" w:type="dxa"/>
          <w:right w:w="120" w:type="dxa"/>
        </w:tblCellMar>
        <w:tblLook w:firstRow="1" w:noVBand="1" w:lastRow="0" w:firstColumn="1" w:lastColumn="0" w:noHBand="0" w:val="04a0"/>
      </w:tblPr>
      <w:tblGrid>
        <w:gridCol w:w="1767"/>
        <w:gridCol w:w="2382"/>
        <w:gridCol w:w="1634"/>
      </w:tblGrid>
      <w:tr>
        <w:trPr/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Quantidade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Denominação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rFonts w:ascii="Calibri" w:hAnsi="Calibri" w:cs="Arial" w:asciiTheme="minorHAnsi" w:hAnsiTheme="minorHAnsi"/>
                <w:bCs/>
              </w:rPr>
            </w:pPr>
            <w:r>
              <w:rPr>
                <w:rFonts w:cs="Arial" w:ascii="Calibri" w:hAnsi="Calibri" w:asciiTheme="minorHAnsi" w:hAnsiTheme="minorHAnsi"/>
                <w:bCs/>
              </w:rPr>
              <w:t>Padrão</w:t>
            </w:r>
          </w:p>
        </w:tc>
      </w:tr>
      <w:tr>
        <w:trPr/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………………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</w:t>
            </w:r>
            <w:r>
              <w:rPr>
                <w:rFonts w:cs="Arial" w:ascii="Calibri" w:hAnsi="Calibri"/>
              </w:rPr>
              <w:t>.</w:t>
            </w:r>
          </w:p>
        </w:tc>
      </w:tr>
      <w:tr>
        <w:trPr/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19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Diretores de Divisão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CC-4 ou FC-4</w:t>
            </w:r>
          </w:p>
        </w:tc>
      </w:tr>
      <w:tr>
        <w:trPr/>
        <w:tc>
          <w:tcPr>
            <w:tcW w:w="1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cs="Arial" w:ascii="Calibri" w:hAnsi="Calibri" w:asciiTheme="minorHAnsi" w:hAnsiTheme="minorHAnsi"/>
              </w:rPr>
              <w:t>12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Supervisores Gerais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 w:asciiTheme="minorHAnsi" w:hAnsiTheme="minorHAnsi"/>
              </w:rPr>
              <w:t>CC-3 ou FC-3</w:t>
            </w:r>
          </w:p>
        </w:tc>
      </w:tr>
      <w:tr>
        <w:trPr/>
        <w:tc>
          <w:tcPr>
            <w:tcW w:w="17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………………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………………………………</w:t>
            </w:r>
          </w:p>
        </w:tc>
        <w:tc>
          <w:tcPr>
            <w:tcW w:w="16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jc w:val="both"/>
              <w:rPr>
                <w:rFonts w:ascii="Calibri" w:hAnsi="Calibri" w:cs="Arial" w:asciiTheme="minorHAnsi" w:hAnsiTheme="minorHAnsi"/>
              </w:rPr>
            </w:pPr>
            <w:r>
              <w:rPr>
                <w:rFonts w:cs="Arial" w:ascii="Calibri" w:hAnsi="Calibri"/>
              </w:rPr>
              <w:t>…………………</w:t>
            </w:r>
            <w:r>
              <w:rPr>
                <w:rFonts w:cs="Arial" w:ascii="Calibri" w:hAnsi="Calibri"/>
              </w:rPr>
              <w:t>..</w:t>
            </w:r>
          </w:p>
        </w:tc>
      </w:tr>
    </w:tbl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ab/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firstLine="680" w:left="5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Art. 2º O Anexo II da Lei nº 5.496, de 17 de setembro de 2019, passa a vigorar sem o cargo de supervisor geral de iluminação, que fica extinto, e acrescido do cargo de diretor de iluminação, com a seguinte redação: 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“</w:t>
      </w:r>
      <w:r>
        <w:rPr>
          <w:rFonts w:cs="Arial" w:ascii="Calibri" w:hAnsi="Calibri"/>
          <w:color w:val="auto"/>
          <w:sz w:val="24"/>
          <w:szCs w:val="24"/>
        </w:rPr>
        <w:t>ANEXO II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……………………………………………</w:t>
      </w:r>
      <w:r>
        <w:rPr>
          <w:rFonts w:cs="Arial" w:ascii="Calibri" w:hAnsi="Calibri"/>
          <w:color w:val="auto"/>
          <w:sz w:val="24"/>
          <w:szCs w:val="24"/>
        </w:rPr>
        <w:t>......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CARGO: DIRETOR DE ILUMINAÇÃO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SERVIÇOS - URBANOS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NÍVEL: MÉDIO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PADRÃO: CC-4 ou FC-4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JORNADA DE TRABALHO - 188 horas mensalmente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SÍNTESE DOS DEVERES: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Exercer a direção, coordenar, orientar, planejar, organizar e controlar as atividades do setor ou unidade sobre sua responsabilidade.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ATRIBUIÇÕES: Exercer a direção e coordenar os trabalhos, atividades e projetos que lhe são atribuídos; acompanhar, fiscalizar, comandar e orientar os subordinados quanto ao desenvolvimento de tarefas, supervisionar e comandar serviços ligados as execuções de iluminação pública, executadas com equipamentos, materiais e funcionários do Município: fiscalizar serviços públicos desempenhados através de terceirização, levar ao conhecimento do Secretário ou Prefeito as medidas que considera importante para o melhor rendimento dos trabalhos e melhor desempenho dos subordinados; prestar conhecimentos ao Secretário ou Prefeito sobre os serviços que estiverem em sua responsabilidade, bem como as tarefas que vem desempenhando; supervisionar e fiscalizar o cumprimento da Lei e a boa ordem dos serviços públicos; tomar medidas que visem a preservação do bem público; levar ao conhecimento do Secretário ou Prefeito as irregularidades e ilícitos constatados na gestão das iluminações públicas; manter o cumprimento da Lei, a disciplina, a boa conduta e o cumprimento de horário ao pessoal sob sua supervisão e coordenação. Vistoriar, iluminação pública em vias, prédios e instalações do município, emitir relatório quando a necessidade de serviços de correção das mesmas, receber demandas através do canal de ouvidoria e outros correlatos quanto a problemas evidenciados e direcioná-los para as equipes de trabalho.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Desempenhar outras tarefas correlatas à direção e coordenação.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CONDIÇÕES DE TRABALHO - Horário a disposição do prefeito municipal.</w:t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737" w:right="0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REQUISITOS PARA PROVIMENTO - Escolaridade: Ensino médio completo. 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>………………………………………</w:t>
      </w:r>
      <w:r>
        <w:rPr>
          <w:rFonts w:cs="Arial" w:ascii="Calibri" w:hAnsi="Calibri"/>
          <w:color w:val="auto"/>
          <w:sz w:val="24"/>
          <w:szCs w:val="24"/>
        </w:rPr>
        <w:t>.…… “ (NR)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color w:val="auto"/>
          <w:sz w:val="24"/>
          <w:szCs w:val="24"/>
        </w:rPr>
        <w:t xml:space="preserve">Art. </w:t>
      </w:r>
      <w:r>
        <w:rPr>
          <w:rFonts w:cs="Arial" w:ascii="Calibri" w:hAnsi="Calibri"/>
          <w:color w:val="auto"/>
          <w:sz w:val="24"/>
          <w:szCs w:val="24"/>
        </w:rPr>
        <w:t>3</w:t>
      </w:r>
      <w:r>
        <w:rPr>
          <w:rFonts w:cs="Arial" w:ascii="Calibri" w:hAnsi="Calibri"/>
          <w:color w:val="auto"/>
          <w:sz w:val="24"/>
          <w:szCs w:val="24"/>
        </w:rPr>
        <w:t xml:space="preserve">º Esta Lei entra em vigor no primeiro dia do mês subsequente a sua publicação.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4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Cabealhoerodap54">
    <w:name w:val="Cabeçalho e rodapé54"/>
    <w:basedOn w:val="Normal"/>
    <w:qFormat/>
    <w:pPr/>
    <w:rPr/>
  </w:style>
  <w:style w:type="paragraph" w:styleId="Cabealhoerodap55">
    <w:name w:val="Cabeçalho e rodapé55"/>
    <w:basedOn w:val="Normal"/>
    <w:qFormat/>
    <w:pPr/>
    <w:rPr/>
  </w:style>
  <w:style w:type="paragraph" w:styleId="Cabealhoerodap56">
    <w:name w:val="Cabeçalho e rodapé56"/>
    <w:basedOn w:val="Normal"/>
    <w:qFormat/>
    <w:pPr/>
    <w:rPr/>
  </w:style>
  <w:style w:type="paragraph" w:styleId="Cabealhoerodap57">
    <w:name w:val="Cabeçalho e rodapé57"/>
    <w:basedOn w:val="Normal"/>
    <w:qFormat/>
    <w:pPr/>
    <w:rPr/>
  </w:style>
  <w:style w:type="paragraph" w:styleId="Cabealhoerodap58">
    <w:name w:val="Cabeçalho e rodapé58"/>
    <w:basedOn w:val="Normal"/>
    <w:qFormat/>
    <w:pPr/>
    <w:rPr/>
  </w:style>
  <w:style w:type="paragraph" w:styleId="Cabealhoerodap59">
    <w:name w:val="Cabeçalho e rodapé59"/>
    <w:basedOn w:val="Normal"/>
    <w:qFormat/>
    <w:pPr/>
    <w:rPr/>
  </w:style>
  <w:style w:type="paragraph" w:styleId="Cabealhoerodap60">
    <w:name w:val="Cabeçalho e rodapé60"/>
    <w:basedOn w:val="Normal"/>
    <w:qFormat/>
    <w:pPr/>
    <w:rPr/>
  </w:style>
  <w:style w:type="paragraph" w:styleId="Cabealhoerodap61">
    <w:name w:val="Cabeçalho e rodapé61"/>
    <w:basedOn w:val="Normal"/>
    <w:qFormat/>
    <w:pPr/>
    <w:rPr/>
  </w:style>
  <w:style w:type="paragraph" w:styleId="Cabealhoerodap62">
    <w:name w:val="Cabeçalho e rodapé62"/>
    <w:basedOn w:val="Normal"/>
    <w:qFormat/>
    <w:pPr/>
    <w:rPr/>
  </w:style>
  <w:style w:type="paragraph" w:styleId="Cabealhoerodap63">
    <w:name w:val="Cabeçalho e rodapé63"/>
    <w:basedOn w:val="Normal"/>
    <w:qFormat/>
    <w:pPr/>
    <w:rPr/>
  </w:style>
  <w:style w:type="paragraph" w:styleId="Cabealhoerodap64">
    <w:name w:val="Cabeçalho e rodapé64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>
      <w:lang w:eastAsia="zh-CN"/>
    </w:rPr>
  </w:style>
  <w:style w:type="paragraph" w:styleId="Contedodoquadrouser">
    <w:name w:val="Conteúdo do quadro (user)"/>
    <w:basedOn w:val="Normal"/>
    <w:qFormat/>
    <w:pPr/>
    <w:rPr/>
  </w:style>
  <w:style w:type="numbering" w:styleId="Semlistauser" w:customStyle="1">
    <w:name w:val="Sem lista (user)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1492</TotalTime>
  <Application>LibreOffice/25.2.5.2$Windows_X86_64 LibreOffice_project/03d19516eb2e1dd5d4ccd751a0d6f35f35e08022</Application>
  <AppVersion>15.0000</AppVersion>
  <Pages>3</Pages>
  <Words>659</Words>
  <Characters>3722</Characters>
  <CharactersWithSpaces>4330</CharactersWithSpaces>
  <Paragraphs>68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2025-10-16T16:30:47Z</cp:lastPrinted>
  <dcterms:modified xsi:type="dcterms:W3CDTF">2025-10-17T09:09:50Z</dcterms:modified>
  <cp:revision>729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