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257/25</w:t>
        <w:tab/>
        <w:tab/>
        <w:tab/>
        <w:tab/>
        <w:t xml:space="preserve">              Três Passos, 24 de outubro de 2025.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76" w:before="0" w:after="0"/>
        <w:ind w:firstLine="1474"/>
        <w:jc w:val="both"/>
        <w:rPr/>
      </w:pPr>
      <w:r>
        <w:rPr>
          <w:rFonts w:ascii="Arial" w:hAnsi="Arial"/>
          <w:sz w:val="24"/>
          <w:szCs w:val="24"/>
        </w:rPr>
        <w:t>Com base no inciso III do art. 59 do Regimento Interno desta Casa Legislativa, a pedido das Comissões Permanentes, encaminho a Vossa Excelência recomendação da orientação técnica em relação ao projeto de lei ordinária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126, de 2025, que autoriza o Poder Executivo Municipal a realizar a compra de imóvel rural de propriedade de Sandro Becker e Jakeline Francisca Becker, conforme descrito na Matrícula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27.933, para que seja observado o seguinte na formalização da aquisição por compra e venda:</w:t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) O imóvel deverá estar disponível para alienação, isto é, livre de quaisquer ônus ou gravames, a ser comprovado por meio de certidão decenal. </w:t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) Como os vendedores são pessoas físicas, é necessário que seja exigida a apresentação de certidão negativa de execução patrimonial, expedida pelo Cartório do Foro da Comarca, e certidão negativa de execução patrimonial expedida pelo distribuidor do cartório.</w:t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) A instrumentalização da compra deverá se dar somente por meio de escritura pública, em homenagem ao princípio da legalidade e em atendimento à norma contida no art. 91, § 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da nova Lei de Licitações,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14.133, de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de abril de 2021.</w:t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hanging="0" w:left="4252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276" w:before="0" w:after="0"/>
        <w:ind w:hanging="0" w:left="4252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rial" w:hAnsi="Arial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LibreOffice/25.2.6.2$Windows_X86_64 LibreOffice_project/729c5bfe710f5eb71ed3bbde9e06a6065e9c6c5d</Application>
  <AppVersion>15.0000</AppVersion>
  <Pages>1</Pages>
  <Words>273</Words>
  <Characters>1504</Characters>
  <CharactersWithSpaces>1786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2025-10-10T13:56:26Z</cp:lastPrinted>
  <dcterms:modified xsi:type="dcterms:W3CDTF">2025-10-24T13:54:32Z</dcterms:modified>
  <cp:revision>76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