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  <w:r>
        <w:rPr>
          <w:rFonts w:ascii="Calibri" w:hAnsi="Calibri"/>
        </w:rPr>
        <w:t xml:space="preserve">em Exercício </w:t>
      </w:r>
      <w:r>
        <w:rPr>
          <w:rFonts w:ascii="Calibri" w:hAnsi="Calibri"/>
        </w:rPr>
        <w:t>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38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4 de novembro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novembro</w:t>
      </w:r>
      <w:r>
        <w:rPr>
          <w:rFonts w:ascii="Calibri" w:hAnsi="Calibri"/>
        </w:rPr>
        <w:t xml:space="preserve"> de 2025, aprovou o PROJETO DE LEI COMPLEMENTAR Nº </w:t>
      </w:r>
      <w:r>
        <w:rPr>
          <w:rFonts w:ascii="Calibri" w:hAnsi="Calibri"/>
        </w:rPr>
        <w:t>10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d</w:t>
      </w:r>
      <w:r>
        <w:rPr>
          <w:rFonts w:cs="Arial" w:ascii="Calibri" w:hAnsi="Calibri"/>
          <w:sz w:val="24"/>
          <w:szCs w:val="24"/>
        </w:rPr>
        <w:t>ispõe sobre a concessão de descontos no pagamento do Imposto Predial e Territorial Urbano – IPTU, relativo ao exercício de 2026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COMPLEMENTAR Nº </w:t>
      </w:r>
      <w:r>
        <w:rPr>
          <w:rFonts w:ascii="Calibri" w:hAnsi="Calibri"/>
          <w:sz w:val="24"/>
          <w:szCs w:val="24"/>
        </w:rPr>
        <w:t>10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 DE OUTUBRO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Dispõe sobre a concessão de descontos no pagamento do Imposto Predial e Territorial Urbano – IPTU, relativo ao exercício de 2026.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O Imposto Predial e Territorial Urbano – IPTU, referente ao exercício de 2026, poderá ser pago: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em cota única, até 10 de abril de 2026; ou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em até oito parcelas mensais consecutivas, com vencimentos em: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a) 1</w:t>
      </w:r>
      <w:r>
        <w:rPr>
          <w:rFonts w:cs="Arial" w:ascii="Calibri" w:hAnsi="Calibri"/>
          <w:strike w:val="false"/>
          <w:dstrike w:val="false"/>
          <w:sz w:val="24"/>
          <w:szCs w:val="24"/>
        </w:rPr>
        <w:t>ª</w:t>
      </w:r>
      <w:r>
        <w:rPr>
          <w:rFonts w:cs="Arial" w:ascii="Calibri" w:hAnsi="Calibri"/>
          <w:sz w:val="24"/>
          <w:szCs w:val="24"/>
        </w:rPr>
        <w:t xml:space="preserve"> parcela – 10 de abril de 2026;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b) 2</w:t>
      </w:r>
      <w:r>
        <w:rPr>
          <w:rFonts w:cs="Arial" w:ascii="Calibri" w:hAnsi="Calibri"/>
          <w:strike w:val="false"/>
          <w:dstrike w:val="false"/>
          <w:sz w:val="24"/>
          <w:szCs w:val="24"/>
        </w:rPr>
        <w:t>ª</w:t>
      </w:r>
      <w:r>
        <w:rPr>
          <w:rFonts w:cs="Arial" w:ascii="Calibri" w:hAnsi="Calibri"/>
          <w:sz w:val="24"/>
          <w:szCs w:val="24"/>
        </w:rPr>
        <w:t xml:space="preserve"> parcela – 11 de maio de 2026;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c) 3</w:t>
      </w:r>
      <w:r>
        <w:rPr>
          <w:rFonts w:cs="Arial" w:ascii="Calibri" w:hAnsi="Calibri"/>
          <w:strike w:val="false"/>
          <w:dstrike w:val="false"/>
          <w:sz w:val="24"/>
          <w:szCs w:val="24"/>
        </w:rPr>
        <w:t>ª</w:t>
      </w:r>
      <w:r>
        <w:rPr>
          <w:rFonts w:cs="Arial" w:ascii="Calibri" w:hAnsi="Calibri"/>
          <w:sz w:val="24"/>
          <w:szCs w:val="24"/>
        </w:rPr>
        <w:t xml:space="preserve"> parcela – 10 de junho de 2026;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d) 4</w:t>
      </w:r>
      <w:r>
        <w:rPr>
          <w:rFonts w:cs="Arial" w:ascii="Calibri" w:hAnsi="Calibri"/>
          <w:strike w:val="false"/>
          <w:dstrike w:val="false"/>
          <w:sz w:val="24"/>
          <w:szCs w:val="24"/>
        </w:rPr>
        <w:t>ª</w:t>
      </w:r>
      <w:r>
        <w:rPr>
          <w:rFonts w:cs="Arial" w:ascii="Calibri" w:hAnsi="Calibri"/>
          <w:sz w:val="24"/>
          <w:szCs w:val="24"/>
        </w:rPr>
        <w:t xml:space="preserve"> parcela – 10 de julho de 2026;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e) 5</w:t>
      </w:r>
      <w:r>
        <w:rPr>
          <w:rFonts w:cs="Arial" w:ascii="Calibri" w:hAnsi="Calibri"/>
          <w:strike w:val="false"/>
          <w:dstrike w:val="false"/>
          <w:sz w:val="24"/>
          <w:szCs w:val="24"/>
        </w:rPr>
        <w:t>ª</w:t>
      </w:r>
      <w:r>
        <w:rPr>
          <w:rFonts w:cs="Arial" w:ascii="Calibri" w:hAnsi="Calibri"/>
          <w:sz w:val="24"/>
          <w:szCs w:val="24"/>
        </w:rPr>
        <w:t xml:space="preserve"> parcela – 10 de agosto de 2026;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f) 6</w:t>
      </w:r>
      <w:r>
        <w:rPr>
          <w:rFonts w:cs="Arial" w:ascii="Calibri" w:hAnsi="Calibri"/>
          <w:strike w:val="false"/>
          <w:dstrike w:val="false"/>
          <w:sz w:val="24"/>
          <w:szCs w:val="24"/>
        </w:rPr>
        <w:t>ª</w:t>
      </w:r>
      <w:r>
        <w:rPr>
          <w:rFonts w:cs="Arial" w:ascii="Calibri" w:hAnsi="Calibri"/>
          <w:sz w:val="24"/>
          <w:szCs w:val="24"/>
        </w:rPr>
        <w:t xml:space="preserve"> parcela – 10 de setembro de 2026;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g) 7</w:t>
      </w:r>
      <w:r>
        <w:rPr>
          <w:rFonts w:cs="Arial" w:ascii="Calibri" w:hAnsi="Calibri"/>
          <w:strike w:val="false"/>
          <w:dstrike w:val="false"/>
          <w:sz w:val="24"/>
          <w:szCs w:val="24"/>
        </w:rPr>
        <w:t>ª</w:t>
      </w:r>
      <w:r>
        <w:rPr>
          <w:rFonts w:cs="Arial" w:ascii="Calibri" w:hAnsi="Calibri"/>
          <w:sz w:val="24"/>
          <w:szCs w:val="24"/>
        </w:rPr>
        <w:t xml:space="preserve"> parcela – 12 de outubro de 2026;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h) 8</w:t>
      </w:r>
      <w:r>
        <w:rPr>
          <w:rFonts w:cs="Arial" w:ascii="Calibri" w:hAnsi="Calibri"/>
          <w:strike w:val="false"/>
          <w:dstrike w:val="false"/>
          <w:sz w:val="24"/>
          <w:szCs w:val="24"/>
        </w:rPr>
        <w:t>ª</w:t>
      </w:r>
      <w:r>
        <w:rPr>
          <w:rFonts w:cs="Arial" w:ascii="Calibri" w:hAnsi="Calibri"/>
          <w:sz w:val="24"/>
          <w:szCs w:val="24"/>
        </w:rPr>
        <w:t xml:space="preserve"> parcela – 10 de novembro de 2026.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Fica o Poder Executivo autorizado a conceder desconto de 5% (cinco por cento) sobre o valor do lançamento do IPTU de 2026 aos imóveis que, em 31 de dezembro de 2025, não apresentem débitos de qualquer natureza, ainda que objeto de parcelamento ou reparcelamento, perante a Fazenda Pública Municipal.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Independentemente da existência de débitos, será concedido desconto de 10% (dez por cento) sobre o valor integral do imposto – ou sobre o saldo já reduzido pelo desconto do art. 2º, quando for o caso – aos contribuintes que efetuarem o pagamento em cota única até a data de vencimento prevista no inciso I do art. 1º.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Parágrafo único. O não pagamento na data do vencimento implica a perda do desconto previsto no caput deste artigo.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4º Compete à Secretaria Municipal de Finanças adotar os procedimentos administrativos necessários à verificação da adimplência e à aplicação dos descontos previstos nesta Lei.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5º Esta </w:t>
      </w:r>
      <w:r>
        <w:rPr>
          <w:rFonts w:cs="Arial" w:ascii="Calibri" w:hAnsi="Calibri"/>
          <w:sz w:val="24"/>
          <w:szCs w:val="24"/>
        </w:rPr>
        <w:t>l</w:t>
      </w:r>
      <w:r>
        <w:rPr>
          <w:rFonts w:cs="Arial" w:ascii="Calibri" w:hAnsi="Calibri"/>
          <w:sz w:val="24"/>
          <w:szCs w:val="24"/>
        </w:rPr>
        <w:t>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Application>LibreOffice/25.2.6.2$Windows_X86_64 LibreOffice_project/729c5bfe710f5eb71ed3bbde9e06a6065e9c6c5d</Application>
  <AppVersion>15.0000</AppVersion>
  <Pages>2</Pages>
  <Words>459</Words>
  <Characters>2281</Characters>
  <CharactersWithSpaces>2732</CharactersWithSpaces>
  <Paragraphs>35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2025-10-16T15:54:18Z</cp:lastPrinted>
  <dcterms:modified xsi:type="dcterms:W3CDTF">2025-11-04T10:05:23Z</dcterms:modified>
  <cp:revision>521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