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239"/>
        <w:rPr>
          <w:rFonts w:ascii="Times New Roman"/>
        </w:rPr>
      </w:pPr>
    </w:p>
    <w:p>
      <w:pPr>
        <w:spacing w:before="0"/>
        <w:ind w:left="136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Interessado: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TRÊS PASSOS </w:t>
      </w:r>
      <w:r>
        <w:rPr>
          <w:spacing w:val="-5"/>
          <w:sz w:val="22"/>
        </w:rPr>
        <w:t>CM.</w:t>
      </w:r>
    </w:p>
    <w:p>
      <w:pPr>
        <w:spacing w:line="292" w:lineRule="auto" w:before="55"/>
        <w:ind w:left="136" w:right="4623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Registro da Consulta</w:t>
      </w:r>
      <w:r>
        <w:rPr>
          <w:sz w:val="22"/>
        </w:rPr>
        <w:t>: 76324/2025.</w:t>
      </w:r>
      <w:r>
        <w:rPr>
          <w:spacing w:val="80"/>
          <w:sz w:val="22"/>
        </w:rPr>
        <w:t> </w:t>
      </w:r>
      <w:r>
        <w:rPr>
          <w:rFonts w:ascii="Arial" w:hAnsi="Arial"/>
          <w:b/>
          <w:sz w:val="22"/>
        </w:rPr>
        <w:t>Consulente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Cristina</w:t>
      </w:r>
      <w:r>
        <w:rPr>
          <w:spacing w:val="-9"/>
          <w:sz w:val="22"/>
        </w:rPr>
        <w:t> </w:t>
      </w:r>
      <w:r>
        <w:rPr>
          <w:sz w:val="22"/>
        </w:rPr>
        <w:t>Käfer,</w:t>
      </w:r>
      <w:r>
        <w:rPr>
          <w:spacing w:val="-9"/>
          <w:sz w:val="22"/>
        </w:rPr>
        <w:t> </w:t>
      </w:r>
      <w:r>
        <w:rPr>
          <w:sz w:val="22"/>
        </w:rPr>
        <w:t>Procuradora</w:t>
      </w:r>
      <w:r>
        <w:rPr>
          <w:spacing w:val="-9"/>
          <w:sz w:val="22"/>
        </w:rPr>
        <w:t> </w:t>
      </w:r>
      <w:r>
        <w:rPr>
          <w:sz w:val="22"/>
        </w:rPr>
        <w:t>Jurídica. </w:t>
      </w:r>
      <w:r>
        <w:rPr>
          <w:rFonts w:ascii="Arial" w:hAnsi="Arial"/>
          <w:b/>
          <w:sz w:val="22"/>
        </w:rPr>
        <w:t>Forma de Atendimento</w:t>
      </w:r>
      <w:r>
        <w:rPr>
          <w:sz w:val="22"/>
        </w:rPr>
        <w:t>: Informação Eletrônica. </w:t>
      </w:r>
      <w:r>
        <w:rPr>
          <w:rFonts w:ascii="Arial" w:hAnsi="Arial"/>
          <w:b/>
          <w:sz w:val="22"/>
        </w:rPr>
        <w:t>Número</w:t>
      </w:r>
      <w:r>
        <w:rPr>
          <w:sz w:val="22"/>
        </w:rPr>
        <w:t>: 04711/2025.</w:t>
      </w:r>
    </w:p>
    <w:p>
      <w:pPr>
        <w:pStyle w:val="BodyText"/>
        <w:spacing w:before="8"/>
      </w:pPr>
    </w:p>
    <w:p>
      <w:pPr>
        <w:pStyle w:val="Heading1"/>
      </w:pPr>
      <w:r>
        <w:rPr>
          <w:spacing w:val="-2"/>
        </w:rPr>
        <w:t>Ementa:</w:t>
      </w:r>
    </w:p>
    <w:p>
      <w:pPr>
        <w:pStyle w:val="BodyText"/>
        <w:spacing w:before="66"/>
        <w:rPr>
          <w:rFonts w:ascii="Arial"/>
          <w:b/>
        </w:rPr>
      </w:pPr>
    </w:p>
    <w:p>
      <w:pPr>
        <w:pStyle w:val="BodyText"/>
        <w:spacing w:line="249" w:lineRule="auto"/>
        <w:ind w:left="136" w:right="131"/>
        <w:jc w:val="both"/>
      </w:pPr>
      <w:r>
        <w:rPr/>
        <w:t>Análise de Projeto de Lei, que “Altera dispositivos da Lei Municipal nº 6.229, de 07 de outubro de 2025, que dispõe sobre as diretrizes orçamentárias para o exercício financeiro de 2026.”. </w:t>
      </w:r>
      <w:r>
        <w:rPr>
          <w:spacing w:val="-2"/>
        </w:rPr>
        <w:t>Considerações.</w:t>
      </w:r>
    </w:p>
    <w:p>
      <w:pPr>
        <w:pStyle w:val="BodyText"/>
        <w:spacing w:before="58"/>
      </w:pPr>
    </w:p>
    <w:p>
      <w:pPr>
        <w:pStyle w:val="Heading1"/>
      </w:pPr>
      <w:r>
        <w:rPr>
          <w:spacing w:val="-2"/>
        </w:rPr>
        <w:t>Resposta:</w:t>
      </w:r>
    </w:p>
    <w:p>
      <w:pPr>
        <w:pStyle w:val="BodyText"/>
        <w:spacing w:before="87"/>
        <w:rPr>
          <w:rFonts w:ascii="Arial"/>
          <w:b/>
        </w:rPr>
      </w:pPr>
    </w:p>
    <w:p>
      <w:pPr>
        <w:pStyle w:val="BodyText"/>
        <w:spacing w:line="278" w:lineRule="auto"/>
        <w:ind w:left="114" w:right="107"/>
        <w:jc w:val="both"/>
      </w:pPr>
      <w:r>
        <w:rPr/>
        <w:t>A partir do texto projetado, encaminhado com a consulta, passamos a dispor pontualmente acerca dos elementos que entendemos necessária melhor avaliação pelo Legislativo.</w:t>
      </w:r>
    </w:p>
    <w:p>
      <w:pPr>
        <w:pStyle w:val="BodyText"/>
      </w:pPr>
    </w:p>
    <w:p>
      <w:pPr>
        <w:pStyle w:val="BodyText"/>
        <w:spacing w:before="78"/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78" w:lineRule="auto" w:before="0" w:after="0"/>
        <w:ind w:left="114" w:right="103" w:firstLine="0"/>
        <w:jc w:val="both"/>
        <w:rPr>
          <w:sz w:val="22"/>
        </w:rPr>
      </w:pPr>
      <w:r>
        <w:rPr>
          <w:sz w:val="22"/>
        </w:rPr>
        <w:t>A redação do art. 33, refere quanto alíquota aplicada as emendas individuais, 1,2%, e a receita corrente líquida a ser considerada para a reserva de contingência das emendas impositivas, a realizada no exercício anterior. Ocorre que, em relação as emendas individuais, o</w:t>
      </w:r>
    </w:p>
    <w:p>
      <w:pPr>
        <w:pStyle w:val="BodyText"/>
        <w:spacing w:line="278" w:lineRule="auto"/>
        <w:ind w:left="114" w:right="101"/>
        <w:jc w:val="both"/>
      </w:pPr>
      <w:r>
        <w:rPr/>
        <w:t>§6º, do art. 120-A da Lei Orgânica, indica o percentual de até 2%, e estabelece a referência como sendo “[...] dois por cento da receita corrente líquida do exercício anterior ao encaminhamento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projeto</w:t>
      </w:r>
      <w:r>
        <w:rPr>
          <w:spacing w:val="40"/>
        </w:rPr>
        <w:t> </w:t>
      </w:r>
      <w:r>
        <w:rPr/>
        <w:t>[...]”.</w:t>
      </w:r>
    </w:p>
    <w:p>
      <w:pPr>
        <w:pStyle w:val="BodyText"/>
        <w:spacing w:line="278" w:lineRule="auto"/>
        <w:ind w:left="114" w:right="106"/>
        <w:jc w:val="both"/>
      </w:pPr>
      <w:r>
        <w:rPr/>
        <w:t>Deste modo, ao menos que a redação do referido dispositivo da Lei Orgânica tenha sofrido alterações, as quais não estejam consolidadas no texto da Lei Orgânica disponibilizado no site leis municipais (Lei Orgânica de Três Passos - RS), se alerta da incongruência da redação </w:t>
      </w:r>
      <w:r>
        <w:rPr>
          <w:spacing w:val="-2"/>
        </w:rPr>
        <w:t>proposta.</w:t>
      </w:r>
    </w:p>
    <w:p>
      <w:pPr>
        <w:pStyle w:val="BodyText"/>
        <w:spacing w:before="31"/>
      </w:pPr>
    </w:p>
    <w:p>
      <w:pPr>
        <w:pStyle w:val="ListParagraph"/>
        <w:numPr>
          <w:ilvl w:val="0"/>
          <w:numId w:val="1"/>
        </w:numPr>
        <w:tabs>
          <w:tab w:pos="383" w:val="left" w:leader="none"/>
        </w:tabs>
        <w:spacing w:line="278" w:lineRule="auto" w:before="0" w:after="0"/>
        <w:ind w:left="114" w:right="104" w:firstLine="0"/>
        <w:jc w:val="both"/>
        <w:rPr>
          <w:sz w:val="22"/>
        </w:rPr>
      </w:pPr>
      <w:r>
        <w:rPr>
          <w:sz w:val="22"/>
        </w:rPr>
        <w:t>A redação do parágrafo único, traz elemento exemplificativo como conteúdo normativo, o</w:t>
      </w:r>
      <w:r>
        <w:rPr>
          <w:spacing w:val="40"/>
          <w:sz w:val="22"/>
        </w:rPr>
        <w:t> </w:t>
      </w:r>
      <w:r>
        <w:rPr>
          <w:sz w:val="22"/>
        </w:rPr>
        <w:t>que, salvo melhor juízo, não atende os critérios aplicados a generalidade e abstração da lei. Razão pela qual se indica supressão. Ademais especificamente quanto a última sentença “É vedada a destinação que configure benefício direto e exclusivo a interesses particulares.”, essa sim é passível de ser mantida, considerando que traz expressa obrigação de não fazer compatível com os princípios aplicados a administração pública nos moldes do art. 37, caput da Constituição Federal. Se indica a apresentação de emenda modificativa que faça os ajustes redacionais no referido dispositivo (art. 34).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1"/>
        </w:numPr>
        <w:tabs>
          <w:tab w:pos="384" w:val="left" w:leader="none"/>
        </w:tabs>
        <w:spacing w:line="278" w:lineRule="auto" w:before="1" w:after="0"/>
        <w:ind w:left="114" w:right="107" w:firstLine="0"/>
        <w:jc w:val="both"/>
        <w:rPr>
          <w:sz w:val="22"/>
        </w:rPr>
      </w:pPr>
      <w:r>
        <w:rPr>
          <w:sz w:val="22"/>
        </w:rPr>
        <w:t>Quanto aos demais ajustes, ao que indica o texto, estão em consonância com a recente decisão monocrática apresentada pelo Supremo Tribunal Federal na ADPF nº 854, quanto a inserção de mecanismos de rastreio e transparência aplicados ao processo legislativo e a execução das despesas de emendas impositivas de vereadores.</w:t>
      </w:r>
    </w:p>
    <w:p>
      <w:pPr>
        <w:pStyle w:val="BodyText"/>
        <w:spacing w:before="36"/>
      </w:pPr>
    </w:p>
    <w:p>
      <w:pPr>
        <w:pStyle w:val="ListParagraph"/>
        <w:numPr>
          <w:ilvl w:val="0"/>
          <w:numId w:val="1"/>
        </w:numPr>
        <w:tabs>
          <w:tab w:pos="358" w:val="left" w:leader="none"/>
        </w:tabs>
        <w:spacing w:line="240" w:lineRule="auto" w:before="0" w:after="0"/>
        <w:ind w:left="358" w:right="0" w:hanging="244"/>
        <w:jc w:val="both"/>
        <w:rPr>
          <w:sz w:val="22"/>
        </w:rPr>
      </w:pPr>
      <w:r>
        <w:rPr>
          <w:sz w:val="22"/>
        </w:rPr>
        <w:t>São as considerações, em caráter informativo, para contribuir na análise da </w:t>
      </w:r>
      <w:r>
        <w:rPr>
          <w:spacing w:val="-2"/>
          <w:sz w:val="22"/>
        </w:rPr>
        <w:t>Administração.</w:t>
      </w:r>
    </w:p>
    <w:p>
      <w:pPr>
        <w:pStyle w:val="ListParagraph"/>
        <w:spacing w:after="0" w:line="240" w:lineRule="auto"/>
        <w:jc w:val="both"/>
        <w:rPr>
          <w:sz w:val="22"/>
        </w:rPr>
        <w:sectPr>
          <w:headerReference w:type="default" r:id="rId5"/>
          <w:type w:val="continuous"/>
          <w:pgSz w:w="11910" w:h="16840"/>
          <w:pgMar w:header="932" w:footer="0" w:top="2040" w:bottom="280" w:left="1133" w:right="1133"/>
          <w:pgNumType w:start="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5"/>
      </w:pPr>
    </w:p>
    <w:p>
      <w:pPr>
        <w:pStyle w:val="BodyText"/>
        <w:ind w:left="136"/>
      </w:pPr>
      <w:r>
        <w:rPr/>
        <w:t>Porto Alegre, </w:t>
      </w:r>
      <w:r>
        <w:rPr>
          <w:spacing w:val="-2"/>
        </w:rPr>
        <w:t>05/12/2025.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1"/>
        <w:spacing w:line="292" w:lineRule="auto"/>
        <w:ind w:left="7699" w:right="134" w:firstLine="202"/>
        <w:jc w:val="right"/>
      </w:pPr>
      <w:r>
        <w:rPr/>
        <w:t>Gabriele</w:t>
      </w:r>
      <w:r>
        <w:rPr>
          <w:spacing w:val="-16"/>
        </w:rPr>
        <w:t> </w:t>
      </w:r>
      <w:r>
        <w:rPr/>
        <w:t>Valgoi OAB/RS nº</w:t>
      </w:r>
      <w:r>
        <w:rPr>
          <w:spacing w:val="-1"/>
        </w:rPr>
        <w:t> </w:t>
      </w:r>
      <w:r>
        <w:rPr>
          <w:spacing w:val="-2"/>
        </w:rPr>
        <w:t>79235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32"/>
        <w:rPr>
          <w:rFonts w:ascii="Arial"/>
          <w:b/>
        </w:rPr>
      </w:pPr>
    </w:p>
    <w:p>
      <w:pPr>
        <w:pStyle w:val="BodyText"/>
        <w:spacing w:line="249" w:lineRule="auto"/>
        <w:ind w:left="1285" w:hanging="930"/>
      </w:pPr>
      <w:r>
        <w:rPr/>
        <w:t>Para</w:t>
      </w:r>
      <w:r>
        <w:rPr>
          <w:spacing w:val="-5"/>
        </w:rPr>
        <w:t> </w:t>
      </w:r>
      <w:r>
        <w:rPr/>
        <w:t>confirmar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autenticidade</w:t>
      </w:r>
      <w:r>
        <w:rPr>
          <w:spacing w:val="-5"/>
        </w:rPr>
        <w:t> </w:t>
      </w:r>
      <w:r>
        <w:rPr/>
        <w:t>deste</w:t>
      </w:r>
      <w:r>
        <w:rPr>
          <w:spacing w:val="-5"/>
        </w:rPr>
        <w:t> </w:t>
      </w:r>
      <w:r>
        <w:rPr/>
        <w:t>documento</w:t>
      </w:r>
      <w:r>
        <w:rPr>
          <w:spacing w:val="-5"/>
        </w:rPr>
        <w:t> </w:t>
      </w:r>
      <w:r>
        <w:rPr/>
        <w:t>acesse</w:t>
      </w:r>
      <w:r>
        <w:rPr>
          <w:spacing w:val="-6"/>
        </w:rPr>
        <w:t> </w:t>
      </w:r>
      <w:hyperlink r:id="rId6">
        <w:r>
          <w:rPr>
            <w:color w:val="0000FF"/>
            <w:u w:val="single" w:color="0000FF"/>
          </w:rPr>
          <w:t>https://pauseperin.adv.br/servicos-</w:t>
        </w:r>
      </w:hyperlink>
      <w:r>
        <w:rPr>
          <w:color w:val="0000FF"/>
        </w:rPr>
        <w:t> </w:t>
      </w:r>
      <w:hyperlink r:id="rId6">
        <w:r>
          <w:rPr>
            <w:color w:val="0000FF"/>
            <w:u w:val="single" w:color="0000FF"/>
          </w:rPr>
          <w:t>verificador</w:t>
        </w:r>
      </w:hyperlink>
      <w:r>
        <w:rPr>
          <w:color w:val="0000FF"/>
        </w:rPr>
        <w:t> </w:t>
      </w:r>
      <w:r>
        <w:rPr/>
        <w:t>e digite o seguinte número verificador: 615859572029168066</w:t>
      </w:r>
    </w:p>
    <w:sectPr>
      <w:pgSz w:w="11910" w:h="16840"/>
      <w:pgMar w:header="932" w:footer="0" w:top="2040" w:bottom="28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1488">
          <wp:simplePos x="0" y="0"/>
          <wp:positionH relativeFrom="page">
            <wp:posOffset>844435</wp:posOffset>
          </wp:positionH>
          <wp:positionV relativeFrom="page">
            <wp:posOffset>592074</wp:posOffset>
          </wp:positionV>
          <wp:extent cx="3800475" cy="71437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00475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14" w:hanging="27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71" w:hanging="27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23" w:hanging="27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75" w:hanging="27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27" w:hanging="27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79" w:hanging="27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31" w:hanging="27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83" w:hanging="27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35" w:hanging="27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36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14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s://www.pauseperin.adv.br/verificador" TargetMode="Externa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2025-12-15T12:59:54Z</dcterms:created>
  <dcterms:modified xsi:type="dcterms:W3CDTF">2025-12-15T12:59:54Z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LastSaved">
    <vt:filetime>2025-12-15T00:00:00Z</vt:filetime>
  </property>
  <property fmtid="{D5CDD505-2E9C-101B-9397-08002B2CF9AE}" pid="4" name="Producer">
    <vt:lpwstr>mPDF 5.7.4</vt:lpwstr>
  </property>
</Properties>
</file>