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154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23</w:t>
      </w:r>
      <w:r>
        <w:rPr>
          <w:rFonts w:ascii="Calibri" w:hAnsi="Calibri"/>
        </w:rPr>
        <w:t xml:space="preserve"> de dezembro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15 de dezembro de 2025, aprovou o PROJETO DE LEI Nº 141, de 2025, de sua autoria, que “a</w:t>
      </w:r>
      <w:r>
        <w:rPr>
          <w:rFonts w:cs="Arial" w:ascii="Calibri" w:hAnsi="Calibri"/>
          <w:sz w:val="24"/>
          <w:szCs w:val="24"/>
        </w:rPr>
        <w:t xml:space="preserve">ltera a Lei nº 6.229, de 7 de outubro de 2025, que dispõe sobre as diretrizes orçamentárias para o exercício financeiro de 2026”,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141, DE 26 DE NOVEMBRO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Altera a Lei nº 6.229, de 7 de outubro de 2025, que dispõe sobre as diretrizes orçamentárias para o exercício financeiro de 2026.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Os arts. 33 a 38 da Lei nº 6.229, de 7 de outubro de 2025, passam a vigorar com a seguinte redação: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“</w:t>
      </w:r>
      <w:r>
        <w:rPr>
          <w:rFonts w:cs="Arial" w:ascii="Calibri" w:hAnsi="Calibri"/>
          <w:sz w:val="24"/>
          <w:szCs w:val="24"/>
        </w:rPr>
        <w:t>Subseção II – Das Emendas Parlamentares Impositivas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33. Constarão no Projeto de Lei Orçamentária as seguintes reservas de contingência: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– 2% (dois por cento) para emendas individuais, calculadas sobre a receita corrente líquida do exercício anterior, sendo que 50% (cinquenta por cento) deste total será destinado obrigatoriamente a ações e serviços públicos de saúde;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1% (um por cento) para emendas de bancada, calculadas sobre a receita corrente líquida realizada no exercício anterior, destinadas a recursos livres.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O cálculo seguirá a IN nº 8, de 2025, do TCE/RS, ou norma superveniente.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Para apresentação das emendas: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– o valor individual será a divisão do montante do inciso I pelo número de vereadores;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o valor por bancada será a divisão do montante do inciso II pelo número de vereadores multiplicada pelo número de representantes da bancada.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3º É vedada a cessão ou transferência de limites entre vereadores ou bancadas.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4º Não será obrigatória a execução das emendas que descumprirem os critérios, revertendo-se seus recursos à reserva de contingência. (NR)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34. A indicação de programação em emenda parlamentar individual impositiva observará a finalidade pública, devendo o objeto indicado ser compatível com a política pública municipal da área correspondente e com a ação orçamentária proposta.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Parágrafo único. É vedada a destinação que configure benefício direto e exclusivo a interesses particulares. (NR)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35. O parlamentar proponente deverá encaminhar documento de indicação da emenda impositiva, que conterá no mínimo: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Objeto e sua finalidade, com a demonstração do interesse público.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Justificativa da necessidade da proposição para a comunidade.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III – Público-alvo a ser beneficiado.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IV – Quantidade estimada de pessoas beneficiadas.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 – Indicação da ação orçamentária, do grupo de natureza da despesa e da fonte de recursos a serem onerados pela programação. (NR)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36. É obrigatória a execução orçamentária e financeira, de forma equitativa, das programações decorrentes de emendas individuais e de bancada, aprovadas ao projeto de lei orçamentária.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§ 1º Considera-se equitativa a execução que atenda aos critérios definidos no Art. 120-F da Lei Orgânica Municipal.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No caso das emendas que contemplem recursos para entidades privadas sob a forma de subvenções, auxílios ou contribuições, os autores deverão indicar, quando necessário e nos prazos fixados pelo Poder Executivo, os beneficiários específicos e a ordem de prioridade.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3º Ressalvada a ocorrência de impedimentos cujo prazo para superação inviabilize o reconhecimento da despesa até o final do exercício financeiro, entende-se por: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execução orçamentária: o empenho e a liquidação da despesa, inclusive sua inscrição em restos a pagar;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execução financeira: o pagamento da despesa, inclusive dos restos a pagar, correspondendo no mínimo à metade do total das programações das emendas individuais e de bancada.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4º Na hipótese de limitação de empenhos e movimentação financeira prevista no art. 20 desta Lei, a execução das programações das emendas poderá ser reduzida na mesma proporção. (NR)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37. Para os fins do disposto no Art. 120-E da Lei Orgânica Municipal, consideram-se impedimentos de ordem técnica as seguintes situações que inviabilizam a execução da programação: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– incompatibilidade do objeto com a ação orçamentária ou com a política pública da área;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– ausência de projeto básico, de projeto de engenharia aprovado ou de licença ambiental, quando exigidos;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III – valor proposto insuficiente para a conclusão de, no mínimo, uma etapa útil com funcionalidade imediata;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IV – não indicação do beneficiário da emenda ou omissão de informações que impeçam sua identificação (razão social, CNPJ e contato);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 – não cumprimento, pela entidade beneficiária, dos requisitos legais para receber transferências voluntárias;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VI – não apresentação ou reprovação do Plano de Ação pelo órgão técnico competente, mediante parecer fundamentado;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VII – incompatibilidade entre o objeto proposto e a finalidade institucional da entidade beneficiária;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VIII – desistência expressa do beneficiário em executar o objeto da emenda. (NR)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38. No caso de impedimento de ordem técnica: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– até 90 (noventa) dias após a publicação da lei orçamentária, o Poder Executivo comunicará ao Legislativo as justificativas de impedimento;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– até 30 (trinta) dias após o prazo do inciso I, o Legislativo indicará o remanejamento da programação cujo impedimento seja insuperável;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III – até 30 (trinta) dias após o prazo do inciso II, o Executivo consolidará as indicações e, se necessário, iniciará processo legislativo de créditos adicionais.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As emendas com impedimento técnico não remanejadas no prazo do inciso II não serão de execução obrigatória, podendo servir como fonte de créditos adicionais.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Uma vez superado o impedimento, os órgãos deverão executar a programação, observados os limites orçamentários e financeiros.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3º As dotações relativas às emendas, que permaneçam com impedimentos técnicos insuperáveis após 20 de novembro de 2026, poderão ser utilizadas como fonte de créditos adicionais.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4º As justificativas para a inexecução comporão o relatório de avaliação de metas fiscais do último quadrimestre. (NR)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A Lei nº 6.229, de 7 de outubro de 2025, passa a vigorar acrescida dos arts. 38-A e 38-B, com a seguinte redação: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“</w:t>
      </w:r>
      <w:r>
        <w:rPr>
          <w:rFonts w:cs="Arial" w:ascii="Calibri" w:hAnsi="Calibri"/>
          <w:sz w:val="24"/>
          <w:szCs w:val="24"/>
        </w:rPr>
        <w:t>Art. 38-A. O Poder Executivo criará seção específica no Portal da Transparência para divulgar, em dados abertos, todas as informações relativas às emendas impositivas, incluindo autor, valor, objeto, beneficiário, plano de ação e status de execução.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38-B. A identificação, controle e acompanhamento da execução orçamentária das programações incluídas mediante emendas serão realizados por meio de relatórios do sistema de execução financeira e orçamentária do Executivo.”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Application>LibreOffice/25.2.7.2$Windows_X86_64 LibreOffice_project/5cbfd1ab6520636bb5f7b99185aa69bd7456825d</Application>
  <AppVersion>15.0000</AppVersion>
  <Pages>4</Pages>
  <Words>1117</Words>
  <Characters>6107</Characters>
  <CharactersWithSpaces>7208</CharactersWithSpaces>
  <Paragraphs>66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2025-12-16T08:37:53Z</cp:lastPrinted>
  <dcterms:modified xsi:type="dcterms:W3CDTF">2025-12-18T08:00:18Z</dcterms:modified>
  <cp:revision>847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