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Toamazoni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6</w:t>
      </w:r>
      <w:r>
        <w:rPr>
          <w:rFonts w:ascii="Calibri" w:hAnsi="Calibri"/>
        </w:rPr>
        <w:t>0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26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26 de dezembro de 2025, aprovou o PROJETO DE LEI COMPLEMENTAR Nº 11, de 2025, de sua autoria, que “a</w:t>
      </w:r>
      <w:r>
        <w:rPr>
          <w:rFonts w:cs="Arial" w:ascii="Calibri" w:hAnsi="Calibri"/>
          <w:sz w:val="24"/>
          <w:szCs w:val="24"/>
        </w:rPr>
        <w:t xml:space="preserve">ltera a Lei Complementar nº 1, de 30 de dezembro de 1991, que estabelece o Código Tributário do Município”,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COMPLEMENTAR Nº 11, DE 26 DE NOVEMBRO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Complementar nº 1, de 30 de dezembro de 1991, que estabelece o Código Tributário do Município.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O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art. 40 da Lei Complementar Municipal nº 1, de 30 de dezembro de 1991, passa a vigorar com as seguintes alterações:</w:t>
      </w:r>
    </w:p>
    <w:p>
      <w:pPr>
        <w:pStyle w:val="BodyText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lineRule="auto" w:line="276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"Art. 40. ………………………………………...………...</w:t>
      </w:r>
    </w:p>
    <w:p>
      <w:pPr>
        <w:pStyle w:val="BodyText"/>
        <w:spacing w:lineRule="auto" w:line="276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§ 1º A Taxa de Licenciamento Ambiental tem como fato gerador o exercício regular do Poder de Polícia do Município, em matéria de proteção, preservação e conservação do Meio Ambiente, e é devida pela pessoa física ou jurídica que, nos termos da legislação ambiental em vigor, deva submeter qualquer empreendimento ou atividade ao licenciamento ambiental de competência municipal.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 xml:space="preserve">º-A </w:t>
      </w:r>
      <w:r>
        <w:rPr>
          <w:rFonts w:cs="Arial" w:ascii="Calibri" w:hAnsi="Calibri"/>
          <w:sz w:val="24"/>
          <w:szCs w:val="24"/>
        </w:rPr>
        <w:t>A taxa tem como base de cálculo o custo estimado da atividade administrativa de vistoria, exame e análise dos projetos e será determinada por alíquotas fixas, visando o ressarcimento dos custos operacionais e análise do licenciamento ambiental, tendo por base a Unidade de Referência Municipal - URM, diferenciada em função do porte e potencial poluidor do empreendimento ou atividade a ser licenciada, de acordo com a Resolução n</w:t>
      </w:r>
      <w:r>
        <w:rPr>
          <w:rFonts w:cs="Arial" w:ascii="Calibri" w:hAnsi="Calibri"/>
          <w:strike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372, de 2018, do Conselho Estadual do Meio Ambiente – CONSEMA, considerando que: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As tipologias dos empreendimentos e atividades que causam ou possam causar impacto ambiental, sujeitas ao licenciamento, são as constantes no Anexo I da Resolução CONSEMA n</w:t>
      </w:r>
      <w:r>
        <w:rPr>
          <w:rFonts w:cs="Arial" w:ascii="Calibri" w:hAnsi="Calibri"/>
          <w:strike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372, de 2018, e alterações posteriores serão cobradas em conformidade com a Tabela XIII desta lei.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……………………………………………………………………</w:t>
      </w:r>
      <w:r>
        <w:rPr>
          <w:rFonts w:cs="Arial" w:ascii="Calibri" w:hAnsi="Calibri"/>
          <w:sz w:val="24"/>
          <w:szCs w:val="24"/>
        </w:rPr>
        <w:t>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7</w:t>
      </w:r>
      <w:r>
        <w:rPr>
          <w:rFonts w:cs="Arial" w:ascii="Calibri" w:hAnsi="Calibri"/>
          <w:strike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As licenças, certidões, declarações, autorizações ambientais e os alvarás florestais, no município de Três Passos, terão os seguintes prazos de validade: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Licença Prévia (LP): 4 (quatro)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- Licença de Instalação (LI): 4 (quatro)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- Licença de Operação (LO):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IV - Procedimento bifásico (LP/LI): 4 (quatro)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 - Procedimento bifásico (LI/LO):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 - Licença Ambiental Única (LAU):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VII - Licença por Adesão e Compromisso (LAC):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VIII -  Licença de Operação Corretiva (LOC):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IX - Licença Ambiental Especial (LAE):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X- Certidão Negativa de Débitos Ambientais: 30 (trinta) dias;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XI - Declaração de isenção ou não incidência de licenciamento ambiental: 2 (dois)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XII Autorização ambiental: até 1 (um) ano;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 w:asciiTheme="minorHAnsi" w:hAnsiTheme="minorHAnsi"/>
          <w:color w:val="000000"/>
          <w:sz w:val="24"/>
          <w:szCs w:val="24"/>
        </w:rPr>
        <w:t>XIII - Alvará florestal: 2 (dois) anos.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§ 8º Na Licença de Operação Corretiva, Licença Ambiental Única, Licença por Adesão e Compromisso e Licença Ambiental Especial o valor de taxa a ser cobrada será correspondente à soma dos valores devidos para Licença Prévia, Licença de Instalação e Licença de Operação, sem prejuízo das sanções legais cabíveis.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§ 9º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A taxa será lançada e arrecadada no ato do protocolo do pedido, cujo comprovante é obrigatório para análise e expedição do documento licenciatório.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I</w:t>
      </w: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- A taxa será devida tantas vezes quantas forem as licenças exigidas (Licença Prévia - LP, Licença de Instalação - LI, Licença de Operação – LO, Procedimento bifásico - LP/LI, Procedimento bifásico - LI/LO, Licença Ambiental Única - LAU, Licença por Adesão e Compromisso - LAC, Licença de Operação Corretiva - LOC, Licença Ambiental Especial – LAE).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4"/>
          <w:szCs w:val="24"/>
        </w:rPr>
        <w:t>II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 – Nos procedimentos bifásicos (LP/LI ou LI/LO) o valor da taxa a ser cobrada será correspondente à soma dos valores devidos para Licença Prévia/Licença de Instalação (LP/LI) e Licença de Instalação/Licença de Operação (LI/LO).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III -</w:t>
      </w: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A taxa será devida independentemente do deferimento ou não da licença requerida.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IV - As taxas referentes aos demais documentos emitidos pelo Órgão Ambiental, tais como declarações, registros e autorizações, assim como de serviços de vistoria, encontram-se igualmente previstas na Tabela XIII desta Lei.” (NR)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Art. 2º A Tabela XIII da Lei Complementar Municipal nº 1, de 30 de dezembro de 1991, passa a vigorar com a redação contida no Anexo Único desta lei.”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Art. 3º Esta lei complementar entra em vigor no primeiro dia do exercício financeiro seguinte ao de sua publicação, desde que decorridos, no mínimo, noventa dias desta.”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 w:cs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ANEXO ÚNICO</w:t>
      </w:r>
    </w:p>
    <w:p>
      <w:pPr>
        <w:pStyle w:val="BodyText"/>
        <w:jc w:val="center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 w:cs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TABELA XIII</w:t>
      </w:r>
    </w:p>
    <w:p>
      <w:pPr>
        <w:pStyle w:val="BodyText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TAXA DE SERVIÇOS AMBIENTAIS EM URMs</w:t>
      </w:r>
    </w:p>
    <w:p>
      <w:pPr>
        <w:pStyle w:val="BodyText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LICENCIAMENTO DE ATIVIDADES DE IMPACTO LOCAL</w:t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CLASSIFICAÇÃO DE ATIVIDADES DE ACORDO COM PORTE E POTENCIAL POLUIDOR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650"/>
        <w:gridCol w:w="1744"/>
        <w:gridCol w:w="1743"/>
        <w:gridCol w:w="1552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PORTE/POTENCIAL POLUIDOR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Baixo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Médio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Alto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Mínimo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75 URM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85 URM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95 URM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Pequeno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85 URM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95 URM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105 URM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Médio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95 URM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105 URM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115 URM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Grande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105 URM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115 URM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125 URM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Excepcional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115 URM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125 URM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135 URM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561"/>
        <w:gridCol w:w="2571"/>
        <w:gridCol w:w="1558"/>
      </w:tblGrid>
      <w:tr>
        <w:trPr/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</w:tcPr>
          <w:p>
            <w:pPr>
              <w:pStyle w:val="Contedodatabela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TABELA DE DOCUMENTOS DIVERSOS DE SERVIÇOS AMBIENTAIS</w:t>
            </w:r>
          </w:p>
        </w:tc>
      </w:tr>
      <w:tr>
        <w:trPr/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4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Valor em URM</w:t>
            </w:r>
          </w:p>
        </w:tc>
      </w:tr>
      <w:tr>
        <w:trPr/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Declaração de não incidência/isenção de licenciamento</w:t>
            </w:r>
          </w:p>
        </w:tc>
        <w:tc>
          <w:tcPr>
            <w:tcW w:w="4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05</w:t>
            </w:r>
          </w:p>
        </w:tc>
      </w:tr>
      <w:tr>
        <w:trPr/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Projeto de Recuperação de Área Degradada (PRAD)</w:t>
            </w:r>
          </w:p>
        </w:tc>
        <w:tc>
          <w:tcPr>
            <w:tcW w:w="4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135</w:t>
            </w:r>
          </w:p>
        </w:tc>
      </w:tr>
      <w:tr>
        <w:trPr/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Reposição Florestal Obrigatória (RFO)</w:t>
            </w:r>
          </w:p>
        </w:tc>
        <w:tc>
          <w:tcPr>
            <w:tcW w:w="4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135</w:t>
            </w:r>
          </w:p>
        </w:tc>
      </w:tr>
      <w:tr>
        <w:trPr/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Laudo de vistoria ambiental</w:t>
            </w:r>
          </w:p>
        </w:tc>
        <w:tc>
          <w:tcPr>
            <w:tcW w:w="4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Parecer técnico</w:t>
            </w:r>
          </w:p>
        </w:tc>
        <w:tc>
          <w:tcPr>
            <w:tcW w:w="4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Supressão de espécies exóticas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Até 05 exemplares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05</w:t>
            </w:r>
          </w:p>
        </w:tc>
      </w:tr>
      <w:tr>
        <w:trPr/>
        <w:tc>
          <w:tcPr>
            <w:tcW w:w="5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Acima de 05 exemplares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Supressão de espécies nativas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Até 05 exemplares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Acima de 05 exemplares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Análise de supressão de vegetação nativa (SINAFLOR)</w:t>
            </w:r>
          </w:p>
        </w:tc>
        <w:tc>
          <w:tcPr>
            <w:tcW w:w="4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50</w:t>
            </w:r>
          </w:p>
        </w:tc>
      </w:tr>
    </w:tbl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Application>LibreOffice/25.2.7.2$Windows_X86_64 LibreOffice_project/5cbfd1ab6520636bb5f7b99185aa69bd7456825d</Application>
  <AppVersion>15.0000</AppVersion>
  <Pages>4</Pages>
  <Words>950</Words>
  <Characters>5035</Characters>
  <CharactersWithSpaces>5899</CharactersWithSpaces>
  <Paragraphs>102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2025-10-16T15:54:18Z</cp:lastPrinted>
  <dcterms:modified xsi:type="dcterms:W3CDTF">2025-12-26T11:10:16Z</dcterms:modified>
  <cp:revision>537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