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7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25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24 de fevereiro de 2026, aprovou o PROJETO DE LEI Nº 142, de 2025, de sua autoria, que “</w:t>
      </w:r>
      <w:r>
        <w:rPr>
          <w:rFonts w:ascii="Calibri" w:hAnsi="Calibri"/>
        </w:rPr>
        <w:t>i</w:t>
      </w:r>
      <w:r>
        <w:rPr>
          <w:rFonts w:cs="Arial" w:ascii="Calibri" w:hAnsi="Calibri"/>
          <w:sz w:val="24"/>
          <w:szCs w:val="24"/>
        </w:rPr>
        <w:t>nstitui o Plano Municipal de Saneamento Básico - PMSB e o Plano Municipal de Gerenciamento Integrado de Resíduos Sólidos - PMGIRS do Município de Três Passos, e formaliza a adesão ao Plano Regional de Água e Esgoto - PRAE da Companhia Riograndense de Saneamento – CORSAN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142, DE </w:t>
      </w:r>
      <w:r>
        <w:rPr>
          <w:rFonts w:ascii="Calibri" w:hAnsi="Calibri"/>
          <w:sz w:val="24"/>
          <w:szCs w:val="24"/>
        </w:rPr>
        <w:t>26 DE NOVEMBRO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Institui o Plano Municipal de Saneamento Básico - PMSB e o Plano Municipal de Gerenciamento Integrado de Resíduos Sólidos - PMGIRS do Município de Três Passos, e formaliza a adesão ao Plano Regional de Água e Esgoto - PRAE da Companhia Riograndense de Saneamento – CORSAN.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Ficam instituídos e aprovados o Plano Municipal de Saneamento Básico - PMSB e o Plano Municipal de Gerenciamento Integrado de Resíduos Sólidos - PMGIRS do Município de Três Passos, que passam a constituir instrumentos oficiais da Política Municipal de Saneamento Básico.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Os planos, com seus documentos anexos, de que trata o caput integram a presente Lei como Anexo, formando parte integrante desta norma para todos os fins.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Os Planos instituídos por esta Lei têm por objetivo orientar as ações de planejamento, regulação, fiscalização e gestão dos serviços públicos de: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abastecimento de água potável;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esgotamento sanitário;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– limpeza urbana e manejo de resíduos sólidos; e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IV – drenagem e manejo das águas pluviais urbanas.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3º Fica o Município de Três Passos formalmente aderido ao Plano Regional de Água e Esgoto - PRAE apresentado pela Companhia Riograndense de Saneamento – CORSAN, conforme previsto nos arts. 17 e 19 da Lei Federal nº 11.445,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 xml:space="preserve">2007, com redação dada pela Lei nº 14.026,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 xml:space="preserve">2020, e nas disposições do Contrato de Concessão nº 75,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>2024, firmado entre o Município e a referida companhia.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A adesão de que trata o caput aplica-se aos eixos de abastecimento de água potável e esgotamento sanitário, que passam a observar as metas, indicadores e programas constantes do PRAE.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Permanecem sob responsabilidade direta do Município, para fins de planejamento e execução, os eixos de limpeza urbana e manejo de resíduos sólidos e drenagem e manejo de águas pluviais urbanas, conforme diretrizes estabelecidas no PMGIRS e no PMSB anexos.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O Poder Executivo Municipal deverá, no prazo máximo de doze meses contados da publicação desta Lei, promover as complementações técnicas e atualizações que se fizerem necessárias, com base nos dados mais recentes e nas diretrizes das legislações federal, estadual e municipal vigentes.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Fica o Poder Executivo autorizado a editar decretos e regulamentos necessários à plena execução desta Lei, podendo, para tanto: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– atualizar os Decretos Municipais nº 111,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 xml:space="preserve">2025, e nº 137,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>2025, de modo a harmonizá-los com as disposições desta Lei;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publicar e disponibilizar os planos aprovados em meio eletrônico, assegurando transparência e controle social;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– disciplinar os mecanismos de monitoramento anual e revisão quadrienal dos planos, compatibilizados com o Plano Plurianual - PPA;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IV – convocar audiências públicas e consultas à sociedade civil sobre o cumprimento das metas estabelecidas.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6º A execução dos Planos ora aprovados observará as diretrizes da Lei Federal nº 11.445,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 xml:space="preserve">2007, da Lei Federal nº 12.305,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 xml:space="preserve">2010, do Decreto Federal nº 7.217,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 xml:space="preserve">2010, do Decreto Federal nº 11.599,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 xml:space="preserve">2023, da Lei Municipal nº 4.607,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>2011, e demais normas correlatas.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7º O Conselho Municipal de Acompanhamento da Concessão dos Serviços de Saneamento Básico – CMACS é o órgão responsável pelo controle social dos eixos de abastecimento de água potável e esgotamento sanitário e o Conselho Municipal de Proteção ao Meio Ambiente – COMUPAM, é o órgão responsável pelo controle social dos eixos de limpeza urbana e manejo de resíduos sólidos e drenagem e manejo de águas pluviais urbanas.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8º A Agência Municipal de Fiscalização dos Serviços de Saneamento Básico – AMSB é responsável exercer a função de agente de fiscalização da prestação dos serviços de saneamento básico, conforme previsto no Contrato de Concessão nº 75,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>2024.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9º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rt. 10 Fica revogada a Lei Municipal nº 4.916, </w:t>
      </w:r>
      <w:r>
        <w:rPr>
          <w:rFonts w:cs="Arial" w:ascii="Calibri" w:hAnsi="Calibri"/>
          <w:sz w:val="24"/>
          <w:szCs w:val="24"/>
        </w:rPr>
        <w:t xml:space="preserve">de 15 de abril de </w:t>
      </w:r>
      <w:r>
        <w:rPr>
          <w:rFonts w:cs="Arial" w:ascii="Calibri" w:hAnsi="Calibri"/>
          <w:sz w:val="24"/>
          <w:szCs w:val="24"/>
        </w:rPr>
        <w:t>2014.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Application>LibreOffice/25.2.7.2$Windows_X86_64 LibreOffice_project/5cbfd1ab6520636bb5f7b99185aa69bd7456825d</Application>
  <AppVersion>15.0000</AppVersion>
  <Pages>3</Pages>
  <Words>818</Words>
  <Characters>4265</Characters>
  <CharactersWithSpaces>5070</CharactersWithSpaces>
  <Paragraphs>41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2026-02-10T09:29:36Z</cp:lastPrinted>
  <dcterms:modified xsi:type="dcterms:W3CDTF">2026-02-26T07:00:22Z</dcterms:modified>
  <cp:revision>928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