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20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10</w:t>
      </w:r>
      <w:r>
        <w:rPr>
          <w:rFonts w:ascii="Calibri" w:hAnsi="Calibri"/>
        </w:rPr>
        <w:t xml:space="preserve"> de março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março de 2026, aprovou o PROJETO DE LEI Nº 1</w:t>
      </w:r>
      <w:r>
        <w:rPr>
          <w:rFonts w:ascii="Calibri" w:hAnsi="Calibri"/>
        </w:rPr>
        <w:t>5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d</w:t>
      </w:r>
      <w:r>
        <w:rPr>
          <w:rFonts w:cs="Arial" w:ascii="Calibri" w:hAnsi="Calibri"/>
          <w:sz w:val="24"/>
          <w:szCs w:val="24"/>
        </w:rPr>
        <w:t>ispõe sobre a criação, as competências, a composição e o funcionamento do Conselho Municipal de Segurança Alimentar e Nutricional — COMSEA de Três Passos/RS, no âmbito do Sistema Nacional de Segurança Alimentar e Nutricional – SISAN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</w:rPr>
        <w:t xml:space="preserve"> DE FEVEREIRO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Dispõe sobre a criação, as competências, a composição e o funcionamento do Conselho Municipal de Segurança Alimentar e Nutricional — COMSEA de Três Passos/RS, no âmbito do Sistema Nacional de Segurança Alimentar e Nutricional – SISAN.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Web"/>
        <w:spacing w:lineRule="auto" w:line="276"/>
        <w:jc w:val="center"/>
        <w:rPr>
          <w:rFonts w:ascii="Calibri" w:hAnsi="Calibri" w:eastAsia="NSimSun" w:cs="Calibri"/>
          <w:color w:val="000000"/>
          <w:kern w:val="2"/>
          <w:lang w:eastAsia="zh-CN" w:bidi="hi-IN"/>
        </w:rPr>
      </w:pPr>
      <w:r>
        <w:rPr>
          <w:rFonts w:eastAsia="NSimSun" w:cs="Calibri" w:ascii="Calibri" w:hAnsi="Calibri"/>
          <w:color w:val="000000"/>
          <w:kern w:val="2"/>
          <w:lang w:eastAsia="zh-CN" w:bidi="hi-IN"/>
        </w:rPr>
        <w:t>CAPÍTULO I</w:t>
      </w:r>
    </w:p>
    <w:p>
      <w:pPr>
        <w:pStyle w:val="NormalWeb"/>
        <w:spacing w:lineRule="auto" w:line="276"/>
        <w:jc w:val="center"/>
        <w:rPr>
          <w:rFonts w:ascii="Calibri" w:hAnsi="Calibri" w:eastAsia="NSimSun" w:cs="Calibri"/>
          <w:color w:val="000000"/>
          <w:kern w:val="2"/>
          <w:lang w:eastAsia="zh-CN" w:bidi="hi-IN"/>
        </w:rPr>
      </w:pPr>
      <w:r>
        <w:rPr>
          <w:rFonts w:eastAsia="NSimSun" w:cs="Calibri" w:ascii="Calibri" w:hAnsi="Calibri"/>
          <w:color w:val="000000"/>
          <w:kern w:val="2"/>
          <w:lang w:eastAsia="zh-CN" w:bidi="hi-IN"/>
        </w:rPr>
        <w:t>DA CRIAÇÃO, NATUREZA E COMPETÊNCIA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1º Fica criado o Conselho Municipal de Segurança Alimentar e Nutricional — COMSEA, órgão de assessoramento imediato ao Prefeito Municipal de Três Passos/RS, que integra o Sistema Nacional de Segurança Alimentar e Nutricional — SISAN, instituído pela Lei Federal n</w:t>
      </w:r>
      <w:r>
        <w:rPr>
          <w:rFonts w:cs="Calibri" w:ascii="Calibri" w:hAnsi="Calibri"/>
          <w:iCs/>
          <w:sz w:val="24"/>
          <w:szCs w:val="24"/>
        </w:rPr>
        <w:t>º</w:t>
      </w:r>
      <w:r>
        <w:rPr>
          <w:rFonts w:cs="Calibri" w:ascii="Calibri" w:hAnsi="Calibri"/>
          <w:iCs/>
          <w:sz w:val="24"/>
          <w:szCs w:val="24"/>
        </w:rPr>
        <w:t xml:space="preserve"> 11.346, de 15 de setembro de 2006.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2º Compete ao COMSEA Municipal: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 - organizar e coordenar, em articulação com a CAISAN Municipal, a Conferência Municipal de Segurança Alimentar e Nutricional, convocada pelo Chefe do Poder Executivo, com periodicidade não superior a quatro anos;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II - define os parâmetros de composição, organização e funcionamento da Conferência;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III - propor ao Poder Executivo, considerando as deliberações da Conferência Municipal de SAN, as diretrizes e prioridades do Plano Municipal de SAN, incluindo os requisitos orçamentários necessários;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IV - articular, acompanhar e monitorar, em colaboração com os demais integrantes do SISAN, a implementação e a convergência de ações do Plano Municipal de SAN;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 - mobilizar e apoiar entidades da sociedade civil na discussão e implementação de ações públicas de Segurança Alimentar e Nutricional;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VI - estimular e fortalecer os mecanismos de participação e controle social nas ações integrantes da Política e do Plano Municipal de SAN;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VII - zelar pelo cumprimento do Direito Humano à Alimentação Adequada e promover sua efetividade;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VIII - manter articulação permanente com os conselhos municipais, estadual e nacional de Segurança Alimentar e Nutricional, no âmbito das ações relacionadas à Política e ao Plano de SAN;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IX - elaborar e aprovar seu regimento interno.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1º O COMSEA manterá diálogo permanente com a Câmara lntersetorial Municipal de SAN - CAISAN, especialmente quanto às diretrizes, prioridades e requisitos orçamentários da Política e do Plano Municipal de Segurança Alimentar e Nutricional.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2º Na ausência de convocação pelo Chefe do Poder Executivo, no prazo regulamentar, a Conferência Municipal de Segurança Alimentar e Nutricional será convocada pelo COMSEA.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CAPÍTULO II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DA COMPOSIÇÃO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3º O COMSEA Municipal será composto por membros titulares e suplentes, sendo dois terços de representantes da sociedade civil, cabendo a essa representação exercer a presidência do Conselho, e um terço de representantes governamentais, conforme disposto na legislação municipal pertinente.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1º Os representantes titulares e suplentes do Governo Municipal serão indicados pelas seguintes Secretarias: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 – Secretaria Municipal de Assistência Social.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II – Secretaria Municipal de Agricultura.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III – Secretaria Municipal de Saúde.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IV – Secretaria Municipal de Educação.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2º Os suplentes governamentais serão designados pelos titulares das respectivas pastas.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3º A representação da sociedade civil no COMSEA será exercida pelos seguintes membros titulares: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 - </w:t>
      </w:r>
      <w:r>
        <w:rPr>
          <w:rFonts w:cs="Calibri" w:ascii="Calibri" w:hAnsi="Calibri"/>
          <w:iCs/>
          <w:sz w:val="24"/>
          <w:szCs w:val="24"/>
        </w:rPr>
        <w:t>um representante do Sindicato dos Trabalhadores Rurais;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II - </w:t>
      </w:r>
      <w:r>
        <w:rPr>
          <w:rFonts w:cs="Calibri" w:ascii="Calibri" w:hAnsi="Calibri"/>
          <w:iCs/>
          <w:sz w:val="24"/>
          <w:szCs w:val="24"/>
        </w:rPr>
        <w:t>um representante da EMATER/ASCAR-RS;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III - </w:t>
      </w:r>
      <w:r>
        <w:rPr>
          <w:rFonts w:cs="Calibri" w:ascii="Calibri" w:hAnsi="Calibri"/>
          <w:iCs/>
          <w:sz w:val="24"/>
          <w:szCs w:val="24"/>
        </w:rPr>
        <w:t>um representante de Universidade – Instituição de Ensino Superior;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IV - </w:t>
      </w:r>
      <w:r>
        <w:rPr>
          <w:rFonts w:cs="Calibri" w:ascii="Calibri" w:hAnsi="Calibri"/>
          <w:iCs/>
          <w:sz w:val="24"/>
          <w:szCs w:val="24"/>
        </w:rPr>
        <w:t>um representante da Associação Social Cristã;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V - </w:t>
      </w:r>
      <w:r>
        <w:rPr>
          <w:rFonts w:cs="Calibri" w:ascii="Calibri" w:hAnsi="Calibri"/>
          <w:iCs/>
          <w:sz w:val="24"/>
          <w:szCs w:val="24"/>
        </w:rPr>
        <w:t>um representante do Conselho Regional de Engenharia e Agronomia do RS;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VI -</w:t>
      </w:r>
      <w:r>
        <w:rPr>
          <w:rFonts w:cs="Calibri" w:ascii="Calibri" w:hAnsi="Calibri"/>
          <w:iCs/>
          <w:sz w:val="24"/>
          <w:szCs w:val="24"/>
        </w:rPr>
        <w:t xml:space="preserve"> um Representante da Inspetoria Veterinária;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VII -</w:t>
      </w:r>
      <w:r>
        <w:rPr>
          <w:rFonts w:cs="Calibri" w:ascii="Calibri" w:hAnsi="Calibri"/>
          <w:iCs/>
          <w:sz w:val="24"/>
          <w:szCs w:val="24"/>
        </w:rPr>
        <w:t xml:space="preserve"> um represente de Associações Rurais;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VIII -</w:t>
      </w:r>
      <w:r>
        <w:rPr>
          <w:rFonts w:cs="Calibri" w:ascii="Calibri" w:hAnsi="Calibri"/>
          <w:iCs/>
          <w:sz w:val="24"/>
          <w:szCs w:val="24"/>
        </w:rPr>
        <w:t xml:space="preserve"> um representante de Cooperativa da Agricultura Familiar.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4º Os demais representantes da sociedade civil serão indicados na Conferência ou Fórum Municipal de SAN, devendo atender a pelo menos um dos seguintes critérios: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 - </w:t>
      </w:r>
      <w:r>
        <w:rPr>
          <w:rFonts w:cs="Calibri" w:ascii="Calibri" w:hAnsi="Calibri"/>
          <w:iCs/>
          <w:sz w:val="24"/>
          <w:szCs w:val="24"/>
        </w:rPr>
        <w:t xml:space="preserve">desenvolver ações voltadas à segurança alimentar e nutricional nos termos do art. 4º da Lei Federal nº 11.346, </w:t>
      </w:r>
      <w:r>
        <w:rPr>
          <w:rFonts w:cs="Calibri" w:ascii="Calibri" w:hAnsi="Calibri"/>
          <w:iCs/>
          <w:sz w:val="24"/>
          <w:szCs w:val="24"/>
        </w:rPr>
        <w:t xml:space="preserve">de </w:t>
      </w:r>
      <w:r>
        <w:rPr>
          <w:rFonts w:cs="Calibri" w:ascii="Calibri" w:hAnsi="Calibri"/>
          <w:iCs/>
          <w:sz w:val="24"/>
          <w:szCs w:val="24"/>
        </w:rPr>
        <w:t>2006;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II - </w:t>
      </w:r>
      <w:r>
        <w:rPr>
          <w:rFonts w:cs="Calibri" w:ascii="Calibri" w:hAnsi="Calibri"/>
          <w:iCs/>
          <w:sz w:val="24"/>
          <w:szCs w:val="24"/>
        </w:rPr>
        <w:t>atuar no município há pelo menos dois anos na mobilização, promoção ou defesa do Direito Humano à Alimentação Adequada;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III - </w:t>
      </w:r>
      <w:r>
        <w:rPr>
          <w:rFonts w:cs="Calibri" w:ascii="Calibri" w:hAnsi="Calibri"/>
          <w:iCs/>
          <w:sz w:val="24"/>
          <w:szCs w:val="24"/>
        </w:rPr>
        <w:t>promover sistemas agroecológicos sustentáveis de produção, processamento e distribuição de alimentos;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IV -</w:t>
      </w:r>
      <w:r>
        <w:rPr>
          <w:rFonts w:cs="Calibri" w:ascii="Calibri" w:hAnsi="Calibri"/>
          <w:iCs/>
          <w:sz w:val="24"/>
          <w:szCs w:val="24"/>
        </w:rPr>
        <w:t xml:space="preserve"> promover o acesso universal à água de qualidade e quantidade suficiente, especialmente para famílias em insegurança hídrica.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5º Os representantes da sociedade civil terão mandato de dois anos, permitida a recondução.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6º Poderão participar do COMSEA, na qualidade de observadores, representantes de conselhos afins, organismos internacionais e do Ministério Público, mediante convite do Presidente.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7º A sociedade civil indicará um titular e um suplente.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4º O COMSEA, antes do término do mandato dos conselheiros da sociedade civil, constituirá comissão com, no mínimo, três membros, sendo 1/3 </w:t>
      </w:r>
      <w:r>
        <w:rPr>
          <w:rFonts w:cs="Calibri" w:ascii="Calibri" w:hAnsi="Calibri"/>
          <w:iCs/>
          <w:sz w:val="24"/>
          <w:szCs w:val="24"/>
        </w:rPr>
        <w:t>(um terço)</w:t>
      </w:r>
      <w:r>
        <w:rPr>
          <w:rFonts w:cs="Calibri" w:ascii="Calibri" w:hAnsi="Calibri"/>
          <w:iCs/>
          <w:sz w:val="24"/>
          <w:szCs w:val="24"/>
        </w:rPr>
        <w:t xml:space="preserve"> da sociedade civil (incluindo o Presidente) e os demais do Governo (incluindo o Secretário-Geral).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§ 1º A comissão elaborará lista com proposta de representantes da sociedade civil, a ser submetida ao Prefeito, conforme critérios deliberados pela Conferência Municipal de SAN.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§ 2º O prazo para apresentação da lista será de até </w:t>
      </w:r>
      <w:r>
        <w:rPr>
          <w:rFonts w:cs="Calibri" w:ascii="Calibri" w:hAnsi="Calibri"/>
          <w:iCs/>
          <w:sz w:val="24"/>
          <w:szCs w:val="24"/>
        </w:rPr>
        <w:t>quarenta e cinco</w:t>
      </w:r>
      <w:r>
        <w:rPr>
          <w:rFonts w:cs="Calibri" w:ascii="Calibri" w:hAnsi="Calibri"/>
          <w:iCs/>
          <w:sz w:val="24"/>
          <w:szCs w:val="24"/>
        </w:rPr>
        <w:t xml:space="preserve"> dias após a Conferência Municipal ou após o término do mandato dos conselheiros.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5</w:t>
      </w:r>
      <w:r>
        <w:rPr>
          <w:rFonts w:cs="Calibri" w:ascii="Calibri" w:hAnsi="Calibri"/>
          <w:iCs/>
          <w:sz w:val="24"/>
          <w:szCs w:val="24"/>
        </w:rPr>
        <w:t>º</w:t>
      </w:r>
      <w:r>
        <w:rPr>
          <w:rFonts w:cs="Calibri" w:ascii="Calibri" w:hAnsi="Calibri"/>
          <w:iCs/>
          <w:sz w:val="24"/>
          <w:szCs w:val="24"/>
        </w:rPr>
        <w:t xml:space="preserve"> Organização do COMSEA: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 — Plenário;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II — Secretaria-Geral;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III — Secretaria-Executiva;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lV — Comissões Temáticas.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cs="Calibri" w:ascii="Calibri" w:hAnsi="Calibri"/>
          <w:b/>
          <w:bCs/>
          <w:iCs/>
          <w:sz w:val="24"/>
          <w:szCs w:val="24"/>
        </w:rPr>
        <w:t>Seção I — Da Presidência e da Secretaria Geral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6º O COMSEA será presidido por representante da sociedade civil, indicado pelo Conselho e designado por Decreto Municipal.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Parágrafo único. Em até trinta dias após a designação dos conselheiros, o Secretário-Geral convocará reunião para indicação do Presidente.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7º Compete ao Presidente: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 — zelar pelas deliberações;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II — representar o COMSEA;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III — convocar e presidir reuniões;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IV — manter interlocução com a CAISAN;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 — convocar reuniões extraordinárias junto ao Secretário-Geral;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VI — propor comissões temáticas e grupos de trabalho.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8º O Secretário Municipal de Assistência Social será o Secretário-Geral do COMSEA.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9º Compete ao Secretário-Geral: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 - submeter à CAISAN as propostas do COMSEA;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II - informar o Conselho sobre o andamento das proposições;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III - acompanhar e relatar encaminhamentos;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IV - promover a integração das ações municipais aos Planos Estadual e Nacional;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 - instituir grupos intersecretariais;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VI - substituir o Presidente;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VII - presidir a CAISAN Municipal.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cs="Calibri" w:ascii="Calibri" w:hAnsi="Calibri"/>
          <w:b/>
          <w:bCs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cs="Calibri" w:ascii="Calibri" w:hAnsi="Calibri"/>
          <w:b/>
          <w:bCs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cs="Calibri" w:ascii="Calibri" w:hAnsi="Calibri"/>
          <w:b/>
          <w:bCs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cs="Calibri" w:ascii="Calibri" w:hAnsi="Calibri"/>
          <w:b/>
          <w:bCs/>
          <w:iCs/>
          <w:sz w:val="24"/>
          <w:szCs w:val="24"/>
        </w:rPr>
        <w:t>Seção II — Da Secretaria-Executiva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10. O COMSEA contará com Secretaria-Executiva responsável pelo suporte técnico e administrativo, indicado pela Secretaria Municipal de Assistência Social.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Parágrafo único. Os recursos necessários serão providos pelo orçamento municipal.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11. Compete à Secretaria-Executiva: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 - assistir o Presidente e o Secretário-Geral;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II - manter comunicação com conselhos municipais e com o COMSEA Nacional;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III - assessorar o Presidente nas relações institucionais;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IV - subsidiar comissões e conselheiros com informações e estudos.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12. O Secretário-Executivo coordenará o planejamento, execução e avaliação das atividades da Secretaria-Executiva.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13. Decreto específico definirá a estrutura e os cargos necessários à Secretaria-Executiva.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CAPÍTULO III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DO FUNCIONAMENTO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14. Poderão participar das reuniões, mediante convite do Presidente, representantes de órgãos públicos e entidades da sociedade civil, conforme pertinência da pauta.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15. O COMSEA contará com comissões temáticas permanentes e grupos de trabalho temporários.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</w:t>
      </w:r>
      <w:r>
        <w:rPr>
          <w:rFonts w:cs="Calibri" w:ascii="Calibri" w:hAnsi="Calibri"/>
          <w:iCs/>
          <w:sz w:val="24"/>
          <w:szCs w:val="24"/>
        </w:rPr>
        <w:t>6</w:t>
      </w:r>
      <w:r>
        <w:rPr>
          <w:rFonts w:cs="Calibri" w:ascii="Calibri" w:hAnsi="Calibri"/>
          <w:iCs/>
          <w:sz w:val="24"/>
          <w:szCs w:val="24"/>
        </w:rPr>
        <w:t>. As requisições de pessoal para atuação na Secretaria-Executiva serão feitas pela Prefeitura.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</w:t>
      </w:r>
      <w:r>
        <w:rPr>
          <w:rFonts w:cs="Calibri" w:ascii="Calibri" w:hAnsi="Calibri"/>
          <w:iCs/>
          <w:sz w:val="24"/>
          <w:szCs w:val="24"/>
        </w:rPr>
        <w:t>7</w:t>
      </w:r>
      <w:r>
        <w:rPr>
          <w:rFonts w:cs="Calibri" w:ascii="Calibri" w:hAnsi="Calibri"/>
          <w:iCs/>
          <w:sz w:val="24"/>
          <w:szCs w:val="24"/>
        </w:rPr>
        <w:t>. O desempenho de função na Secretaria-Executiva constitui, para militar, atividade de natureza militar e serviço relevante; e, para o pessoal civil, serviço relevante e título de merecimento para todos os efeitos funcionais.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</w:t>
      </w:r>
      <w:r>
        <w:rPr>
          <w:rFonts w:cs="Calibri" w:ascii="Calibri" w:hAnsi="Calibri"/>
          <w:iCs/>
          <w:sz w:val="24"/>
          <w:szCs w:val="24"/>
        </w:rPr>
        <w:t>18</w:t>
      </w:r>
      <w:r>
        <w:rPr>
          <w:rFonts w:cs="Calibri" w:ascii="Calibri" w:hAnsi="Calibri"/>
          <w:iCs/>
          <w:sz w:val="24"/>
          <w:szCs w:val="24"/>
        </w:rPr>
        <w:t>. Esta Lei entra em vigor na data de sua publicação.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</w:t>
      </w:r>
      <w:r>
        <w:rPr>
          <w:rFonts w:cs="Calibri" w:ascii="Calibri" w:hAnsi="Calibri"/>
          <w:iCs/>
          <w:sz w:val="24"/>
          <w:szCs w:val="24"/>
        </w:rPr>
        <w:t>19</w:t>
      </w:r>
      <w:r>
        <w:rPr>
          <w:rFonts w:cs="Calibri" w:ascii="Calibri" w:hAnsi="Calibri"/>
          <w:iCs/>
          <w:sz w:val="24"/>
          <w:szCs w:val="24"/>
        </w:rPr>
        <w:t>. Revoga-se a Lei nº 5.038, de 23 de dezembro de 2014.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6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6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Application>LibreOffice/25.2.7.2$Windows_X86_64 LibreOffice_project/5cbfd1ab6520636bb5f7b99185aa69bd7456825d</Application>
  <AppVersion>15.0000</AppVersion>
  <Pages>5</Pages>
  <Words>1338</Words>
  <Characters>7639</Characters>
  <CharactersWithSpaces>8914</CharactersWithSpaces>
  <Paragraphs>106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2026-03-03T10:28:21Z</cp:lastPrinted>
  <dcterms:modified xsi:type="dcterms:W3CDTF">2026-03-10T09:49:01Z</dcterms:modified>
  <cp:revision>1018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