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2</w:t>
      </w:r>
      <w:r>
        <w:rPr>
          <w:rFonts w:ascii="Calibri" w:hAnsi="Calibri"/>
        </w:rPr>
        <w:t>3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24</w:t>
      </w:r>
      <w:r>
        <w:rPr>
          <w:rFonts w:ascii="Calibri" w:hAnsi="Calibri"/>
        </w:rPr>
        <w:t xml:space="preserve"> de março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 xml:space="preserve">23 </w:t>
      </w:r>
      <w:r>
        <w:rPr>
          <w:rFonts w:ascii="Calibri" w:hAnsi="Calibri"/>
        </w:rPr>
        <w:t xml:space="preserve">de março de 2026, aprovou o PROJETO DE LEI Nº </w:t>
      </w:r>
      <w:r>
        <w:rPr>
          <w:rFonts w:ascii="Calibri" w:hAnsi="Calibri"/>
        </w:rPr>
        <w:t>20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d</w:t>
      </w:r>
      <w:r>
        <w:rPr>
          <w:rFonts w:cs="Arial" w:ascii="Calibri" w:hAnsi="Calibri"/>
          <w:sz w:val="24"/>
          <w:szCs w:val="24"/>
        </w:rPr>
        <w:t>ispõe sobre a alteração na LOA, exercício 2026, e abertura de crédito especial no valor de 22.000,00 (vinte e dois mil reais)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 xml:space="preserve"> DE MARÇO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Dispõe sobre a alteração na LOA, exercício 2026, e abertura de crédito especial no valor de 22.000,00 (vinte e dois mil reais).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1º 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>Fica autorizada a abertura de crédito adicional especial na Lei Orçamentária Anual – LOA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I - Órgão: 20 – Instituto de Previdência do Serv. P</w:t>
      </w:r>
      <w:r>
        <w:rPr>
          <w:rFonts w:cs="Calibri" w:cstheme="minorHAnsi" w:ascii="Calibri" w:hAnsi="Calibri"/>
          <w:iCs/>
          <w:sz w:val="24"/>
          <w:szCs w:val="24"/>
        </w:rPr>
        <w:t>u</w:t>
      </w:r>
      <w:r>
        <w:rPr>
          <w:rFonts w:cs="Calibri" w:cstheme="minorHAnsi" w:ascii="Calibri" w:hAnsi="Calibri"/>
          <w:iCs/>
          <w:sz w:val="24"/>
          <w:szCs w:val="24"/>
        </w:rPr>
        <w:t>b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Unidade: 20.001 – Manutenção do Instituto de Previdência do Servidor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Programa: 0700 – Gestão do Regime Próprio de Previdência Social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Função/Subfunção: 09/122 - Previdência Social/Administração Geral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Proj/Ativ: 2153 – Manutenção Da Unidade Gestora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Despesa: 3.1.91.13.00.00.00.00 – Obrigações Patronais - R$ 20.000,00 (vinte mil reais)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Despesa: 3.3.90.08.00.00.00.00 – Outros Benef. Assistenciais do Serv. e do Militar - R$ 2.000,00 (dois mil reais)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Fonte de Recurso: 1.802.0000.0000 Recursos Vinculados ao RPPS - Taxa de Administração.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Art. 2º Servirá para a cobertura das despesas abertas no art. 1º conforme descrito a seguir:</w:t>
      </w:r>
    </w:p>
    <w:p>
      <w:pPr>
        <w:pStyle w:val="Normal"/>
        <w:widowControl/>
        <w:suppressAutoHyphens w:val="true"/>
        <w:bidi w:val="0"/>
        <w:spacing w:before="0" w:after="0"/>
        <w:ind w:firstLine="57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I - Órgão: 20 – Instituto de Previdência do Serv. P</w:t>
      </w:r>
      <w:r>
        <w:rPr>
          <w:rFonts w:cs="Calibri" w:cstheme="minorHAnsi" w:ascii="Calibri" w:hAnsi="Calibri"/>
          <w:iCs/>
          <w:sz w:val="24"/>
          <w:szCs w:val="24"/>
        </w:rPr>
        <w:t>u</w:t>
      </w:r>
      <w:r>
        <w:rPr>
          <w:rFonts w:cs="Calibri" w:cstheme="minorHAnsi" w:ascii="Calibri" w:hAnsi="Calibri"/>
          <w:iCs/>
          <w:sz w:val="24"/>
          <w:szCs w:val="24"/>
        </w:rPr>
        <w:t>b Três Passos</w:t>
      </w:r>
    </w:p>
    <w:p>
      <w:pPr>
        <w:pStyle w:val="Normal"/>
        <w:widowControl/>
        <w:suppressAutoHyphens w:val="true"/>
        <w:bidi w:val="0"/>
        <w:spacing w:before="0" w:after="0"/>
        <w:ind w:firstLine="57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Unidade: 20.001 – Manutenção do Instituto de Previdência do Servidor</w:t>
      </w:r>
    </w:p>
    <w:p>
      <w:pPr>
        <w:pStyle w:val="Normal"/>
        <w:widowControl/>
        <w:suppressAutoHyphens w:val="true"/>
        <w:bidi w:val="0"/>
        <w:spacing w:before="0" w:after="0"/>
        <w:ind w:firstLine="57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Programa: 0700 – Gestão do Regime Próprio de Previdência Social</w:t>
      </w:r>
    </w:p>
    <w:p>
      <w:pPr>
        <w:pStyle w:val="Normal"/>
        <w:widowControl/>
        <w:suppressAutoHyphens w:val="true"/>
        <w:bidi w:val="0"/>
        <w:spacing w:before="0" w:after="0"/>
        <w:ind w:firstLine="57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Função/Subfunção: 09/122 - Previdência Social/Administração Geral</w:t>
      </w:r>
    </w:p>
    <w:p>
      <w:pPr>
        <w:pStyle w:val="Normal"/>
        <w:widowControl/>
        <w:suppressAutoHyphens w:val="true"/>
        <w:bidi w:val="0"/>
        <w:spacing w:before="0" w:after="0"/>
        <w:ind w:firstLine="57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Proj/Ativ: 2153 – Manutenção Da Unidade Gestora</w:t>
      </w:r>
    </w:p>
    <w:p>
      <w:pPr>
        <w:pStyle w:val="Normal"/>
        <w:widowControl/>
        <w:suppressAutoHyphens w:val="true"/>
        <w:bidi w:val="0"/>
        <w:spacing w:before="0" w:after="0"/>
        <w:ind w:hanging="0" w:left="794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Despesa: 3.1.90.13.00.00.00.00 – Obrigações Patronais - R$ 22.000,00 (vinte e dois mil reais)</w:t>
      </w:r>
    </w:p>
    <w:p>
      <w:pPr>
        <w:pStyle w:val="Normal"/>
        <w:widowControl/>
        <w:suppressAutoHyphens w:val="true"/>
        <w:bidi w:val="0"/>
        <w:spacing w:before="0" w:after="0"/>
        <w:ind w:firstLine="57" w:left="737" w:right="0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Fonte de Recurso: 1.802.0000.0000 Recursos Vinculados ao RPPS - Taxa de Administração.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Application>LibreOffice/25.8.5.2$Windows_X86_64 LibreOffice_project/9c8b85f387cc00a89945a79c9e6239f32e450ac2</Application>
  <AppVersion>15.0000</AppVersion>
  <Pages>2</Pages>
  <Words>382</Words>
  <Characters>2150</Characters>
  <CharactersWithSpaces>2519</CharactersWithSpaces>
  <Paragraphs>38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2026-03-24T10:37:55Z</cp:lastPrinted>
  <dcterms:modified xsi:type="dcterms:W3CDTF">2026-03-24T10:37:48Z</dcterms:modified>
  <cp:revision>1035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