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57" w:rsidRDefault="00391857" w:rsidP="00391857">
      <w:pPr>
        <w:pStyle w:val="NormalWeb"/>
        <w:spacing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391857" w:rsidRDefault="00391857" w:rsidP="00391857">
      <w:pPr>
        <w:spacing w:line="360" w:lineRule="auto"/>
        <w:ind w:firstLine="1134"/>
        <w:jc w:val="both"/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, da Lei Orgânica do Município que, ouvida a Mesa Diretora, seja solicitada ao Senhor Prefeito Municipal uma relação do Valor Adicionado Fiscal relativo à arrecadação decorrente da produção primária dos seguintes produtos: leite, aves, </w:t>
      </w:r>
      <w:proofErr w:type="spellStart"/>
      <w:r>
        <w:rPr>
          <w:rFonts w:ascii="Arial" w:hAnsi="Arial" w:cs="Arial"/>
        </w:rPr>
        <w:t>suíndos</w:t>
      </w:r>
      <w:proofErr w:type="spellEnd"/>
      <w:r>
        <w:rPr>
          <w:rFonts w:ascii="Arial" w:hAnsi="Arial" w:cs="Arial"/>
        </w:rPr>
        <w:t xml:space="preserve"> e demais produtos, do ano de 2017 e se possível do ano de 2018, do nosso Município.</w:t>
      </w:r>
    </w:p>
    <w:p w:rsidR="00391857" w:rsidRDefault="00391857" w:rsidP="00391857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Justificativa: o objetivo é acompanhar a evolução das receitas do setor primário, bem como do respectivo Valor Adicionado Fiscal, informação que não consta no Portal Transparência do site da Prefeitura </w:t>
      </w:r>
      <w:proofErr w:type="spellStart"/>
      <w:r>
        <w:rPr>
          <w:rFonts w:ascii="Arial" w:hAnsi="Arial" w:cs="Arial"/>
        </w:rPr>
        <w:t>Municipa</w:t>
      </w:r>
      <w:proofErr w:type="spellEnd"/>
      <w:r>
        <w:rPr>
          <w:rFonts w:ascii="Arial" w:hAnsi="Arial" w:cs="Arial"/>
        </w:rPr>
        <w:t>, sendo que do ano de 2016 já nos foi informado por meio do Ofício SMF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048/2017.</w:t>
      </w:r>
    </w:p>
    <w:p w:rsidR="00391857" w:rsidRDefault="00391857" w:rsidP="00391857">
      <w:pPr>
        <w:spacing w:line="360" w:lineRule="auto"/>
        <w:ind w:firstLine="1134"/>
        <w:jc w:val="both"/>
        <w:rPr>
          <w:rFonts w:cs="Arial"/>
        </w:rPr>
      </w:pPr>
    </w:p>
    <w:p w:rsidR="00391857" w:rsidRDefault="00391857" w:rsidP="00391857">
      <w:pPr>
        <w:pStyle w:val="Recuodecorpodetexto"/>
        <w:ind w:left="0" w:firstLine="1134"/>
        <w:rPr>
          <w:rFonts w:cs="Arial"/>
        </w:rPr>
      </w:pPr>
      <w:r>
        <w:rPr>
          <w:sz w:val="24"/>
          <w:szCs w:val="24"/>
        </w:rPr>
        <w:t>Três Passos, 28 de fevereiro de 2019.</w:t>
      </w:r>
      <w:bookmarkStart w:id="0" w:name="_GoBack"/>
      <w:bookmarkEnd w:id="0"/>
    </w:p>
    <w:p w:rsidR="00391857" w:rsidRDefault="00391857" w:rsidP="00391857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</w:p>
    <w:p w:rsidR="00391857" w:rsidRDefault="00391857" w:rsidP="00391857">
      <w:pPr>
        <w:pStyle w:val="NormalWeb"/>
        <w:spacing w:before="57" w:beforeAutospacing="0" w:after="57" w:afterAutospacing="0" w:line="276" w:lineRule="auto"/>
        <w:ind w:firstLine="1134"/>
        <w:jc w:val="both"/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391857" w:rsidRDefault="00391857" w:rsidP="00391857">
      <w:pPr>
        <w:pStyle w:val="NormalWeb"/>
        <w:spacing w:before="57" w:beforeAutospacing="0" w:after="57" w:afterAutospacing="0" w:line="276" w:lineRule="auto"/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CD747D" w:rsidRPr="003F68A2" w:rsidRDefault="00CD747D" w:rsidP="003F68A2"/>
    <w:sectPr w:rsidR="00CD747D" w:rsidRPr="003F68A2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857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2C9B"/>
    <w:rsid w:val="003E31CF"/>
    <w:rsid w:val="003E5518"/>
    <w:rsid w:val="003E5D07"/>
    <w:rsid w:val="003E6094"/>
    <w:rsid w:val="003F121F"/>
    <w:rsid w:val="003F629E"/>
    <w:rsid w:val="003F68A2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58C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4</cp:revision>
  <cp:lastPrinted>2016-02-15T11:22:00Z</cp:lastPrinted>
  <dcterms:created xsi:type="dcterms:W3CDTF">2019-02-08T11:11:00Z</dcterms:created>
  <dcterms:modified xsi:type="dcterms:W3CDTF">2019-03-07T16:40:00Z</dcterms:modified>
</cp:coreProperties>
</file>