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120" w:after="120"/>
        <w:rPr>
          <w:sz w:val="22"/>
          <w:szCs w:val="22"/>
        </w:rPr>
      </w:pPr>
      <w:r>
        <w:rPr>
          <w:sz w:val="22"/>
          <w:szCs w:val="22"/>
        </w:rPr>
        <w:t>EMENDA MODIFICATIVA E ADITIVA</w:t>
      </w:r>
    </w:p>
    <w:p>
      <w:pPr>
        <w:pStyle w:val="Normal"/>
        <w:spacing w:lineRule="auto" w:line="360" w:before="120" w:after="120"/>
        <w:jc w:val="center"/>
        <w:rPr>
          <w:rFonts w:ascii="Arial" w:hAnsi="Arial" w:cs="Arial"/>
          <w:b/>
          <w:b/>
          <w:i/>
          <w:i/>
          <w:iCs/>
          <w:sz w:val="22"/>
          <w:szCs w:val="22"/>
        </w:rPr>
      </w:pPr>
      <w:r>
        <w:rPr>
          <w:rFonts w:cs="Arial" w:ascii="Arial" w:hAnsi="Arial"/>
          <w:b/>
          <w:i/>
          <w:iCs/>
          <w:sz w:val="22"/>
          <w:szCs w:val="22"/>
        </w:rPr>
      </w:r>
    </w:p>
    <w:p>
      <w:pPr>
        <w:pStyle w:val="Normal"/>
        <w:spacing w:lineRule="auto" w:line="360" w:before="120" w:after="120"/>
        <w:jc w:val="center"/>
        <w:rPr>
          <w:rFonts w:ascii="Arial" w:hAnsi="Arial" w:cs="Arial"/>
          <w:b/>
          <w:b/>
          <w:i/>
          <w:i/>
          <w:iCs/>
          <w:sz w:val="22"/>
          <w:szCs w:val="22"/>
        </w:rPr>
      </w:pPr>
      <w:r>
        <w:rPr>
          <w:rFonts w:cs="Arial" w:ascii="Arial" w:hAnsi="Arial"/>
          <w:b/>
          <w:i/>
          <w:iCs/>
          <w:sz w:val="22"/>
          <w:szCs w:val="22"/>
        </w:rPr>
        <w:t>Senhor Presidente da Comissão de Orçamento, Finanças e Infraestrutura</w:t>
      </w:r>
    </w:p>
    <w:p>
      <w:pPr>
        <w:pStyle w:val="Normal"/>
        <w:spacing w:lineRule="auto" w:line="360" w:before="120" w:after="120"/>
        <w:jc w:val="center"/>
        <w:rPr>
          <w:rFonts w:ascii="Arial" w:hAnsi="Arial" w:cs="Arial"/>
          <w:b/>
          <w:b/>
          <w:i/>
          <w:i/>
          <w:iCs/>
          <w:sz w:val="22"/>
          <w:szCs w:val="22"/>
        </w:rPr>
      </w:pPr>
      <w:r>
        <w:rPr>
          <w:rFonts w:cs="Arial" w:ascii="Arial" w:hAnsi="Arial"/>
          <w:b/>
          <w:i/>
          <w:iCs/>
          <w:sz w:val="22"/>
          <w:szCs w:val="22"/>
        </w:rPr>
      </w:r>
    </w:p>
    <w:p>
      <w:pPr>
        <w:pStyle w:val="Normal"/>
        <w:spacing w:lineRule="auto" w:line="360" w:before="120" w:after="120"/>
        <w:ind w:firstLine="1134"/>
        <w:jc w:val="both"/>
        <w:rPr>
          <w:rFonts w:ascii="Arial" w:hAnsi="Arial" w:cs="Arial"/>
          <w:sz w:val="22"/>
          <w:szCs w:val="22"/>
        </w:rPr>
      </w:pPr>
      <w:r>
        <w:rPr>
          <w:rFonts w:cs="Arial" w:ascii="Arial" w:hAnsi="Arial"/>
          <w:sz w:val="22"/>
          <w:szCs w:val="22"/>
        </w:rPr>
        <w:t xml:space="preserve">O Vereador </w:t>
      </w:r>
      <w:r>
        <w:rPr>
          <w:rFonts w:cs="Arial" w:ascii="Arial" w:hAnsi="Arial"/>
          <w:b/>
          <w:bCs/>
          <w:sz w:val="22"/>
          <w:szCs w:val="22"/>
        </w:rPr>
        <w:t>Flávio Habitzreiter</w:t>
      </w:r>
      <w:r>
        <w:rPr>
          <w:rFonts w:cs="Arial" w:ascii="Arial" w:hAnsi="Arial"/>
          <w:sz w:val="22"/>
          <w:szCs w:val="22"/>
        </w:rPr>
        <w:t xml:space="preserve">, da bancada do PTB, usando das legais e regimentais atribuições inerentes ao cargo que ocupa e a sua função de parlamentar, vem, perante V.Ex.a., apresentar </w:t>
      </w:r>
      <w:r>
        <w:rPr>
          <w:rFonts w:cs="Arial" w:ascii="Arial" w:hAnsi="Arial"/>
          <w:b/>
          <w:bCs/>
          <w:sz w:val="22"/>
          <w:szCs w:val="22"/>
        </w:rPr>
        <w:t>EMENDA MODIFICATIVA E ADITIVA</w:t>
      </w:r>
      <w:r>
        <w:rPr>
          <w:rFonts w:cs="Arial" w:ascii="Arial" w:hAnsi="Arial"/>
          <w:sz w:val="22"/>
          <w:szCs w:val="22"/>
        </w:rPr>
        <w:t xml:space="preserve"> ao Projeto de Lei n</w:t>
      </w:r>
      <w:r>
        <w:rPr>
          <w:rFonts w:cs="Arial" w:ascii="Arial" w:hAnsi="Arial"/>
          <w:strike/>
          <w:sz w:val="22"/>
          <w:szCs w:val="22"/>
        </w:rPr>
        <w:t>º</w:t>
      </w:r>
      <w:r>
        <w:rPr>
          <w:rFonts w:cs="Arial" w:ascii="Arial" w:hAnsi="Arial"/>
          <w:sz w:val="22"/>
          <w:szCs w:val="22"/>
        </w:rPr>
        <w:t xml:space="preserve"> 63, de 25 de agosto de 2021, de autoria </w:t>
      </w:r>
      <w:r>
        <w:rPr>
          <w:rFonts w:cs="Arial" w:ascii="Arial" w:hAnsi="Arial"/>
          <w:sz w:val="22"/>
          <w:szCs w:val="22"/>
          <w:lang w:eastAsia="zh-CN"/>
        </w:rPr>
        <w:t>do Prefeito Municipal</w:t>
      </w:r>
      <w:r>
        <w:rPr>
          <w:rFonts w:cs="Arial" w:ascii="Arial" w:hAnsi="Arial"/>
          <w:sz w:val="22"/>
          <w:szCs w:val="22"/>
        </w:rPr>
        <w:t>, que se encontra na Comissão de Orçamento, Finanças e Infraestrutura, nos seguintes termos:</w:t>
      </w:r>
    </w:p>
    <w:p>
      <w:pPr>
        <w:pStyle w:val="Normal"/>
        <w:spacing w:lineRule="auto" w:line="360" w:before="120" w:after="120"/>
        <w:ind w:firstLine="1134"/>
        <w:jc w:val="both"/>
        <w:rPr>
          <w:rFonts w:ascii="Arial" w:hAnsi="Arial" w:cs="Arial"/>
          <w:sz w:val="22"/>
          <w:szCs w:val="22"/>
        </w:rPr>
      </w:pPr>
      <w:r>
        <w:rPr>
          <w:rFonts w:cs="Arial" w:ascii="Arial" w:hAnsi="Arial"/>
          <w:b/>
          <w:sz w:val="22"/>
          <w:szCs w:val="22"/>
        </w:rPr>
        <w:t>Emenda Modificativa e Aditiva –</w:t>
      </w:r>
      <w:r>
        <w:rPr>
          <w:rFonts w:cs="Arial" w:ascii="Arial" w:hAnsi="Arial"/>
          <w:sz w:val="22"/>
          <w:szCs w:val="22"/>
        </w:rPr>
        <w:t xml:space="preserve"> Transforma o parágrafo único do artigo 2</w:t>
      </w:r>
      <w:r>
        <w:rPr>
          <w:rFonts w:cs="Arial" w:ascii="Arial" w:hAnsi="Arial"/>
          <w:strike/>
          <w:sz w:val="22"/>
          <w:szCs w:val="22"/>
        </w:rPr>
        <w:t>º</w:t>
      </w:r>
      <w:r>
        <w:rPr>
          <w:rFonts w:cs="Arial" w:ascii="Arial" w:hAnsi="Arial"/>
          <w:sz w:val="22"/>
          <w:szCs w:val="22"/>
        </w:rPr>
        <w:t xml:space="preserve"> em §1</w:t>
      </w:r>
      <w:r>
        <w:rPr>
          <w:rFonts w:cs="Arial" w:ascii="Arial" w:hAnsi="Arial"/>
          <w:strike/>
          <w:sz w:val="22"/>
          <w:szCs w:val="22"/>
        </w:rPr>
        <w:t>º</w:t>
      </w:r>
      <w:r>
        <w:rPr>
          <w:rFonts w:cs="Arial" w:ascii="Arial" w:hAnsi="Arial"/>
          <w:sz w:val="22"/>
          <w:szCs w:val="22"/>
        </w:rPr>
        <w:t xml:space="preserve"> e acrescenta o §2</w:t>
      </w:r>
      <w:r>
        <w:rPr>
          <w:rFonts w:cs="Arial" w:ascii="Arial" w:hAnsi="Arial"/>
          <w:strike/>
          <w:sz w:val="22"/>
          <w:szCs w:val="22"/>
        </w:rPr>
        <w:t>º</w:t>
      </w:r>
      <w:r>
        <w:rPr>
          <w:rFonts w:cs="Arial" w:ascii="Arial" w:hAnsi="Arial"/>
          <w:sz w:val="22"/>
          <w:szCs w:val="22"/>
        </w:rPr>
        <w:t xml:space="preserve"> ao mesmo artigo, que passam a ter a seguinte redação:</w:t>
      </w:r>
    </w:p>
    <w:p>
      <w:pPr>
        <w:pStyle w:val="Normal"/>
        <w:spacing w:lineRule="auto" w:line="360" w:before="120" w:after="120"/>
        <w:ind w:left="2268" w:hanging="0"/>
        <w:jc w:val="both"/>
        <w:rPr>
          <w:rFonts w:ascii="Arial" w:hAnsi="Arial" w:cs="Arial"/>
          <w:sz w:val="22"/>
          <w:szCs w:val="22"/>
        </w:rPr>
      </w:pPr>
      <w:r>
        <w:rPr>
          <w:rFonts w:cs="Arial" w:ascii="Arial" w:hAnsi="Arial"/>
          <w:sz w:val="22"/>
          <w:szCs w:val="22"/>
        </w:rPr>
        <w:t>“</w:t>
      </w:r>
      <w:r>
        <w:rPr>
          <w:rFonts w:cs="Arial" w:ascii="Arial" w:hAnsi="Arial"/>
          <w:sz w:val="22"/>
          <w:szCs w:val="22"/>
        </w:rPr>
        <w:t>Art. 2</w:t>
      </w:r>
      <w:r>
        <w:rPr>
          <w:rFonts w:cs="Arial" w:ascii="Arial" w:hAnsi="Arial"/>
          <w:strike/>
          <w:sz w:val="22"/>
          <w:szCs w:val="22"/>
        </w:rPr>
        <w:t>º</w:t>
      </w:r>
      <w:r>
        <w:rPr>
          <w:rFonts w:cs="Arial" w:ascii="Arial" w:hAnsi="Arial"/>
          <w:sz w:val="22"/>
          <w:szCs w:val="22"/>
        </w:rPr>
        <w:t xml:space="preserve"> ....................</w:t>
      </w:r>
    </w:p>
    <w:p>
      <w:pPr>
        <w:pStyle w:val="Normal"/>
        <w:spacing w:lineRule="auto" w:line="360" w:before="120" w:after="120"/>
        <w:ind w:left="2268" w:hanging="0"/>
        <w:jc w:val="both"/>
        <w:rPr>
          <w:rFonts w:ascii="Arial" w:hAnsi="Arial" w:cs="Arial"/>
          <w:sz w:val="22"/>
          <w:szCs w:val="22"/>
        </w:rPr>
      </w:pPr>
      <w:r>
        <w:rPr>
          <w:rFonts w:cs="Arial" w:ascii="Arial" w:hAnsi="Arial"/>
          <w:sz w:val="22"/>
          <w:szCs w:val="22"/>
        </w:rPr>
        <w:t>§ 1</w:t>
      </w:r>
      <w:r>
        <w:rPr>
          <w:rFonts w:cs="Arial" w:ascii="Arial" w:hAnsi="Arial"/>
          <w:strike/>
          <w:sz w:val="22"/>
          <w:szCs w:val="22"/>
        </w:rPr>
        <w:t>º</w:t>
      </w:r>
      <w:r>
        <w:rPr>
          <w:rFonts w:cs="Arial" w:ascii="Arial" w:hAnsi="Arial"/>
          <w:sz w:val="22"/>
          <w:szCs w:val="22"/>
        </w:rPr>
        <w:t xml:space="preserve"> O valor excedente da compra dos equipamentos deverá ser pago pelo Poder Executivo Municipal.</w:t>
      </w:r>
    </w:p>
    <w:p>
      <w:pPr>
        <w:pStyle w:val="Normal"/>
        <w:spacing w:lineRule="auto" w:line="360" w:before="120" w:after="120"/>
        <w:ind w:left="2268" w:hanging="0"/>
        <w:jc w:val="both"/>
        <w:rPr>
          <w:rFonts w:ascii="Arial" w:hAnsi="Arial" w:cs="Arial"/>
          <w:sz w:val="22"/>
          <w:szCs w:val="22"/>
        </w:rPr>
      </w:pPr>
      <w:r>
        <w:rPr>
          <w:rFonts w:cs="Arial" w:ascii="Arial" w:hAnsi="Arial"/>
          <w:sz w:val="22"/>
          <w:szCs w:val="22"/>
        </w:rPr>
        <w:t>§ 2</w:t>
      </w:r>
      <w:r>
        <w:rPr>
          <w:rFonts w:cs="Arial" w:ascii="Arial" w:hAnsi="Arial"/>
          <w:strike/>
          <w:sz w:val="22"/>
          <w:szCs w:val="22"/>
        </w:rPr>
        <w:t>º</w:t>
      </w:r>
      <w:r>
        <w:rPr>
          <w:rFonts w:cs="Arial" w:ascii="Arial" w:hAnsi="Arial"/>
          <w:sz w:val="22"/>
          <w:szCs w:val="22"/>
        </w:rPr>
        <w:t xml:space="preserve"> As despesas decorrentes desta lei correrão pela seguinte dotação orçamentária:</w:t>
      </w:r>
    </w:p>
    <w:p>
      <w:pPr>
        <w:pStyle w:val="Normal"/>
        <w:spacing w:lineRule="auto" w:line="360" w:before="120" w:after="120"/>
        <w:ind w:left="2268" w:hanging="0"/>
        <w:jc w:val="both"/>
        <w:rPr>
          <w:rFonts w:ascii="Arial" w:hAnsi="Arial" w:cs="Arial"/>
          <w:sz w:val="22"/>
          <w:szCs w:val="22"/>
        </w:rPr>
      </w:pPr>
      <w:r>
        <w:rPr>
          <w:rFonts w:cs="Arial" w:ascii="Arial" w:hAnsi="Arial"/>
          <w:bCs/>
          <w:sz w:val="22"/>
          <w:szCs w:val="22"/>
        </w:rPr>
        <w:t>Entidade:</w:t>
      </w:r>
      <w:r>
        <w:rPr>
          <w:rFonts w:cs="Arial" w:ascii="Arial" w:hAnsi="Arial"/>
          <w:sz w:val="22"/>
          <w:szCs w:val="22"/>
        </w:rPr>
        <w:t xml:space="preserve"> 1 - PREFEITURA MUNICIPAL DE TR</w:t>
      </w:r>
      <w:r>
        <w:rPr>
          <w:rFonts w:cs="Arial" w:ascii="Arial" w:hAnsi="Arial"/>
          <w:sz w:val="22"/>
          <w:szCs w:val="22"/>
        </w:rPr>
        <w:t>Ê</w:t>
      </w:r>
      <w:r>
        <w:rPr>
          <w:rFonts w:cs="Arial" w:ascii="Arial" w:hAnsi="Arial"/>
          <w:sz w:val="22"/>
          <w:szCs w:val="22"/>
        </w:rPr>
        <w:t>S PASSOS</w:t>
      </w:r>
    </w:p>
    <w:p>
      <w:pPr>
        <w:pStyle w:val="Normal"/>
        <w:spacing w:lineRule="auto" w:line="360" w:before="120" w:after="120"/>
        <w:ind w:left="2268" w:hanging="0"/>
        <w:jc w:val="both"/>
        <w:rPr>
          <w:rFonts w:ascii="Arial" w:hAnsi="Arial" w:cs="Arial"/>
          <w:sz w:val="22"/>
          <w:szCs w:val="22"/>
        </w:rPr>
      </w:pPr>
      <w:r>
        <w:rPr>
          <w:rFonts w:cs="Arial" w:ascii="Arial" w:hAnsi="Arial"/>
          <w:sz w:val="22"/>
          <w:szCs w:val="22"/>
        </w:rPr>
        <w:t>Unidade: 02 RESERVA DE CONTINGÊNCIA</w:t>
      </w:r>
    </w:p>
    <w:p>
      <w:pPr>
        <w:pStyle w:val="Normal"/>
        <w:spacing w:lineRule="auto" w:line="360" w:before="120" w:after="120"/>
        <w:ind w:left="2268" w:hanging="0"/>
        <w:jc w:val="both"/>
        <w:rPr>
          <w:rFonts w:ascii="Arial" w:hAnsi="Arial" w:cs="Arial"/>
          <w:sz w:val="22"/>
          <w:szCs w:val="22"/>
        </w:rPr>
      </w:pPr>
      <w:r>
        <w:rPr>
          <w:rFonts w:cs="Arial" w:ascii="Arial" w:hAnsi="Arial"/>
          <w:sz w:val="22"/>
          <w:szCs w:val="22"/>
        </w:rPr>
        <w:t>Proj./Ativ. 9.999 Reserva de Contingência</w:t>
      </w:r>
    </w:p>
    <w:p>
      <w:pPr>
        <w:pStyle w:val="Normal"/>
        <w:spacing w:lineRule="auto" w:line="360" w:before="120" w:after="120"/>
        <w:ind w:left="2268" w:hanging="0"/>
        <w:jc w:val="both"/>
        <w:rPr>
          <w:rFonts w:ascii="Arial" w:hAnsi="Arial" w:cs="Arial"/>
          <w:sz w:val="22"/>
          <w:szCs w:val="22"/>
        </w:rPr>
      </w:pPr>
      <w:r>
        <w:rPr>
          <w:rFonts w:cs="Arial" w:ascii="Arial" w:hAnsi="Arial"/>
          <w:sz w:val="22"/>
          <w:szCs w:val="22"/>
        </w:rPr>
        <w:t>9.9.99.99.01.00.00.00 0001 Reserva de Contingência – Executivo.”</w:t>
      </w:r>
    </w:p>
    <w:p>
      <w:pPr>
        <w:pStyle w:val="Normal"/>
        <w:spacing w:lineRule="auto" w:line="360" w:before="120" w:after="120"/>
        <w:ind w:firstLine="1134"/>
        <w:jc w:val="both"/>
        <w:rPr>
          <w:rFonts w:ascii="Arial" w:hAnsi="Arial" w:cs="Arial"/>
          <w:sz w:val="22"/>
          <w:szCs w:val="22"/>
        </w:rPr>
      </w:pPr>
      <w:r>
        <w:rPr>
          <w:rFonts w:cs="Arial" w:ascii="Arial" w:hAnsi="Arial"/>
          <w:sz w:val="22"/>
          <w:szCs w:val="22"/>
        </w:rPr>
        <w:t>Os demais artigos, parágrafos e termos do Projeto permanecem inalterados.</w:t>
      </w:r>
    </w:p>
    <w:p>
      <w:pPr>
        <w:pStyle w:val="Normal"/>
        <w:spacing w:lineRule="auto" w:line="360" w:before="120" w:after="120"/>
        <w:jc w:val="center"/>
        <w:rPr>
          <w:rFonts w:ascii="Arial" w:hAnsi="Arial" w:cs="Arial"/>
          <w:sz w:val="22"/>
          <w:szCs w:val="22"/>
        </w:rPr>
      </w:pPr>
      <w:r>
        <w:rPr>
          <w:rFonts w:cs="Arial" w:ascii="Arial" w:hAnsi="Arial"/>
          <w:b/>
          <w:sz w:val="22"/>
          <w:szCs w:val="22"/>
        </w:rPr>
        <w:t>J</w:t>
      </w:r>
      <w:r>
        <w:rPr>
          <w:rFonts w:cs="Arial" w:ascii="Arial" w:hAnsi="Arial"/>
          <w:b/>
          <w:sz w:val="22"/>
          <w:szCs w:val="22"/>
        </w:rPr>
        <w:t>USTIFICATIVA</w:t>
      </w:r>
    </w:p>
    <w:p>
      <w:pPr>
        <w:pStyle w:val="Normal"/>
        <w:spacing w:lineRule="auto" w:line="360" w:before="120" w:after="120"/>
        <w:jc w:val="center"/>
        <w:rPr>
          <w:rFonts w:ascii="Arial" w:hAnsi="Arial" w:cs="Arial"/>
          <w:b/>
          <w:b/>
          <w:i/>
          <w:i/>
          <w:iCs/>
          <w:sz w:val="22"/>
          <w:szCs w:val="22"/>
        </w:rPr>
      </w:pPr>
      <w:r>
        <w:rPr>
          <w:rFonts w:cs="Arial" w:ascii="Arial" w:hAnsi="Arial"/>
          <w:b/>
          <w:i/>
          <w:iCs/>
          <w:sz w:val="22"/>
          <w:szCs w:val="22"/>
        </w:rPr>
        <w:t>Senhor Presidente e Senhores Vereadores</w:t>
      </w:r>
    </w:p>
    <w:p>
      <w:pPr>
        <w:pStyle w:val="Normal"/>
        <w:spacing w:lineRule="auto" w:line="360" w:before="120" w:after="120"/>
        <w:ind w:firstLine="1134"/>
        <w:jc w:val="both"/>
        <w:rPr>
          <w:rFonts w:ascii="Arial" w:hAnsi="Arial" w:cs="Arial"/>
          <w:sz w:val="22"/>
          <w:szCs w:val="22"/>
        </w:rPr>
      </w:pPr>
      <w:r>
        <w:rPr>
          <w:rFonts w:cs="Arial" w:ascii="Arial" w:hAnsi="Arial"/>
          <w:sz w:val="22"/>
          <w:szCs w:val="22"/>
        </w:rPr>
        <w:t>A Emenda Modificativa e Aditiva tem como objetivo adequar a redação do projeto de lei do Poder Executivo visando que a contrapartida pela aquisição dos equipamentos seja custeada pela Administração Municipal e não pela Associação Hospital de Caridade de Três Passos.</w:t>
      </w:r>
    </w:p>
    <w:p>
      <w:pPr>
        <w:pStyle w:val="Normal"/>
        <w:spacing w:lineRule="auto" w:line="360" w:before="120" w:after="120"/>
        <w:ind w:firstLine="1134"/>
        <w:jc w:val="both"/>
        <w:rPr>
          <w:rFonts w:ascii="Arial" w:hAnsi="Arial" w:cs="Arial"/>
          <w:sz w:val="22"/>
          <w:szCs w:val="22"/>
        </w:rPr>
      </w:pPr>
      <w:r>
        <w:rPr>
          <w:rFonts w:cs="Arial" w:ascii="Arial" w:hAnsi="Arial"/>
          <w:sz w:val="22"/>
          <w:szCs w:val="22"/>
        </w:rPr>
        <w:t>É de conhecimento geral a difícil situação financeira pela qual atravessa a única Casa Hospital de Nossa cidade. De outro lado, também é de conhecimento o expressivo saldo financeiro deixado pela Gestão passada para a atual gestão da Prefeitura de sorte que, há total viabilidade para inversão do referido pagamento.</w:t>
      </w:r>
    </w:p>
    <w:p>
      <w:pPr>
        <w:pStyle w:val="Normal"/>
        <w:spacing w:lineRule="auto" w:line="360" w:before="120" w:after="120"/>
        <w:ind w:firstLine="1134"/>
        <w:jc w:val="both"/>
        <w:rPr>
          <w:rFonts w:ascii="Arial" w:hAnsi="Arial" w:cs="Arial"/>
          <w:sz w:val="22"/>
          <w:szCs w:val="22"/>
        </w:rPr>
      </w:pPr>
      <w:r>
        <w:rPr>
          <w:rFonts w:cs="Arial" w:ascii="Arial" w:hAnsi="Arial"/>
          <w:sz w:val="22"/>
          <w:szCs w:val="22"/>
        </w:rPr>
        <w:t>Para a Prefeitura, não é preciso dizer, tal valor não possui muita representatividade. Para o Hospital, por outro lado, é extremamente significativo, podendo representar, inclusive, o pagamento (ou não) de despesas essenciais como oxigênio e o próprio salário de alguns colaboradores.</w:t>
      </w:r>
    </w:p>
    <w:p>
      <w:pPr>
        <w:pStyle w:val="Normal"/>
        <w:spacing w:lineRule="auto" w:line="360" w:before="120" w:after="120"/>
        <w:ind w:firstLine="1134"/>
        <w:jc w:val="both"/>
        <w:rPr>
          <w:rFonts w:ascii="Arial" w:hAnsi="Arial" w:cs="Arial"/>
          <w:sz w:val="22"/>
          <w:szCs w:val="22"/>
        </w:rPr>
      </w:pPr>
      <w:r>
        <w:rPr>
          <w:rFonts w:cs="Arial" w:ascii="Arial" w:hAnsi="Arial"/>
          <w:sz w:val="22"/>
          <w:szCs w:val="22"/>
        </w:rPr>
        <w:t>Além disso, observa-se que o valor indicado para cobertura da despesa será retirado da Reserva de Contingência, ou seja, de uma “poupança” obrigatória feita pela Prefeitura, não impactando em nenhum outro serviço prestado ou em projeção de ser realizado.</w:t>
      </w:r>
    </w:p>
    <w:p>
      <w:pPr>
        <w:pStyle w:val="Normal"/>
        <w:spacing w:lineRule="auto" w:line="360" w:before="120" w:after="120"/>
        <w:ind w:firstLine="1134"/>
        <w:jc w:val="both"/>
        <w:rPr>
          <w:rFonts w:ascii="Arial" w:hAnsi="Arial" w:cs="Arial"/>
          <w:sz w:val="22"/>
          <w:szCs w:val="22"/>
        </w:rPr>
      </w:pPr>
      <w:r>
        <w:rPr>
          <w:rFonts w:cs="Arial" w:ascii="Arial" w:hAnsi="Arial"/>
          <w:sz w:val="22"/>
          <w:szCs w:val="22"/>
        </w:rPr>
        <w:t>Conforme artigo 14, §2</w:t>
      </w:r>
      <w:r>
        <w:rPr>
          <w:rFonts w:cs="Arial" w:ascii="Arial" w:hAnsi="Arial"/>
          <w:strike/>
          <w:sz w:val="22"/>
          <w:szCs w:val="22"/>
        </w:rPr>
        <w:t>º</w:t>
      </w:r>
      <w:r>
        <w:rPr>
          <w:rFonts w:cs="Arial" w:ascii="Arial" w:hAnsi="Arial"/>
          <w:sz w:val="22"/>
          <w:szCs w:val="22"/>
        </w:rPr>
        <w:t>, da Lei Municipal n</w:t>
      </w:r>
      <w:r>
        <w:rPr>
          <w:rFonts w:cs="Arial" w:ascii="Arial" w:hAnsi="Arial"/>
          <w:strike/>
          <w:sz w:val="22"/>
          <w:szCs w:val="22"/>
        </w:rPr>
        <w:t>º</w:t>
      </w:r>
      <w:r>
        <w:rPr>
          <w:rFonts w:cs="Arial" w:ascii="Arial" w:hAnsi="Arial"/>
          <w:sz w:val="22"/>
          <w:szCs w:val="22"/>
        </w:rPr>
        <w:t xml:space="preserve"> 5.578/2020 (LDO 2021), os valores não utilizados destinados à reserva de contingência poderão ser utilizados 50% (cinquenta por cento) livremente, como fonte de recursos para a abertura de créditos adicionais e o restante poderá ser utilizado somente a partir de 30 de outubro de 2021. Logo, considerando os prazos legais necessários até a promulgação do presente projeto, o valor da reserva de contingência estará inteiramente disponível.</w:t>
      </w:r>
    </w:p>
    <w:p>
      <w:pPr>
        <w:pStyle w:val="Normal"/>
        <w:spacing w:lineRule="auto" w:line="360" w:before="120" w:after="120"/>
        <w:ind w:firstLine="1134"/>
        <w:jc w:val="both"/>
        <w:rPr>
          <w:rFonts w:ascii="Arial" w:hAnsi="Arial" w:cs="Arial"/>
          <w:sz w:val="22"/>
          <w:szCs w:val="22"/>
        </w:rPr>
      </w:pPr>
      <w:r>
        <w:rPr>
          <w:rFonts w:cs="Arial" w:ascii="Arial" w:hAnsi="Arial"/>
          <w:sz w:val="22"/>
          <w:szCs w:val="22"/>
        </w:rPr>
        <w:t>Três Passos, 14 de outubro de 2021.</w:t>
      </w:r>
    </w:p>
    <w:p>
      <w:pPr>
        <w:pStyle w:val="Normal"/>
        <w:spacing w:lineRule="auto" w:line="360" w:before="120" w:after="120"/>
        <w:ind w:firstLine="1134"/>
        <w:jc w:val="both"/>
        <w:rPr>
          <w:rFonts w:ascii="Arial" w:hAnsi="Arial" w:cs="Arial"/>
          <w:b/>
          <w:b/>
          <w:i/>
          <w:i/>
          <w:iCs/>
          <w:sz w:val="22"/>
          <w:szCs w:val="22"/>
        </w:rPr>
      </w:pPr>
      <w:r>
        <w:rPr>
          <w:rFonts w:cs="Arial" w:ascii="Arial" w:hAnsi="Arial"/>
          <w:b/>
          <w:i/>
          <w:iCs/>
          <w:sz w:val="22"/>
          <w:szCs w:val="22"/>
        </w:rPr>
      </w:r>
    </w:p>
    <w:p>
      <w:pPr>
        <w:pStyle w:val="Normal"/>
        <w:spacing w:lineRule="auto" w:line="360" w:before="120" w:after="120"/>
        <w:ind w:firstLine="1134"/>
        <w:jc w:val="both"/>
        <w:rPr>
          <w:rFonts w:ascii="Arial" w:hAnsi="Arial" w:cs="Arial"/>
          <w:b/>
          <w:b/>
          <w:i/>
          <w:i/>
          <w:iCs/>
          <w:sz w:val="22"/>
          <w:szCs w:val="22"/>
        </w:rPr>
      </w:pPr>
      <w:r>
        <w:rPr>
          <w:rFonts w:cs="Arial" w:ascii="Arial" w:hAnsi="Arial"/>
          <w:b/>
          <w:i/>
          <w:iCs/>
          <w:sz w:val="22"/>
          <w:szCs w:val="22"/>
        </w:rPr>
        <w:t xml:space="preserve">Flavio Habitzreiter </w:t>
      </w:r>
    </w:p>
    <w:p>
      <w:pPr>
        <w:pStyle w:val="Normal"/>
        <w:spacing w:lineRule="auto" w:line="360" w:before="120" w:after="120"/>
        <w:ind w:firstLine="1134"/>
        <w:jc w:val="both"/>
        <w:rPr>
          <w:rFonts w:ascii="Arial" w:hAnsi="Arial" w:cs="Arial"/>
          <w:b/>
          <w:b/>
          <w:sz w:val="22"/>
          <w:szCs w:val="22"/>
        </w:rPr>
      </w:pPr>
      <w:r>
        <w:rPr>
          <w:rFonts w:cs="Arial" w:ascii="Arial" w:hAnsi="Arial"/>
          <w:b/>
          <w:sz w:val="22"/>
          <w:szCs w:val="22"/>
        </w:rPr>
        <w:t>Vereador da Bancada do PTB</w:t>
      </w:r>
    </w:p>
    <w:sectPr>
      <w:headerReference w:type="default" r:id="rId2"/>
      <w:footerReference w:type="default" r:id="rId3"/>
      <w:type w:val="nextPage"/>
      <w:pgSz w:w="11906" w:h="16838"/>
      <w:pgMar w:left="1418" w:right="1134" w:header="720" w:top="1134" w:footer="4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cs="Arial Black"/>
        <w:sz w:val="16"/>
      </w:rPr>
    </w:pPr>
    <w:r>
      <w:rPr>
        <w:rFonts w:cs="Arial Black" w:ascii="Arial Black" w:hAnsi="Arial Black"/>
        <w:sz w:val="16"/>
      </w:rPr>
    </w:r>
  </w:p>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rFonts w:ascii="Arial Black" w:hAnsi="Arial Black" w:cs="Arial Black"/>
        <w:sz w:val="16"/>
      </w:rPr>
    </w:pPr>
    <w:r>
      <w:rPr>
        <w:rFonts w:cs="Arial Black" w:ascii="Arial Black" w:hAnsi="Arial Black"/>
        <w:sz w:val="16"/>
      </w:rPr>
      <w:t>E-mail: camara@trespassos.rs.leg.br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sz w:val="20"/>
        <w:lang w:eastAsia="pt-BR"/>
      </w:rPr>
    </w:pPr>
    <w:r>
      <w:drawing>
        <wp:anchor behindDoc="1" distT="0" distB="0" distL="114935" distR="114935" simplePos="0" locked="0" layoutInCell="0" allowOverlap="1" relativeHeight="3">
          <wp:simplePos x="0" y="0"/>
          <wp:positionH relativeFrom="column">
            <wp:posOffset>2484755</wp:posOffset>
          </wp:positionH>
          <wp:positionV relativeFrom="paragraph">
            <wp:posOffset>-406400</wp:posOffset>
          </wp:positionV>
          <wp:extent cx="791210" cy="106108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865" t="-721" r="-865" b="-721"/>
                  <a:stretch>
                    <a:fillRect/>
                  </a:stretch>
                </pic:blipFill>
                <pic:spPr bwMode="auto">
                  <a:xfrm>
                    <a:off x="0" y="0"/>
                    <a:ext cx="791210" cy="1061085"/>
                  </a:xfrm>
                  <a:prstGeom prst="rect">
                    <a:avLst/>
                  </a:prstGeom>
                </pic:spPr>
              </pic:pic>
            </a:graphicData>
          </a:graphic>
        </wp:anchor>
      </w:drawing>
    </w:r>
    <w:r>
      <w:rPr>
        <w:sz w:val="20"/>
        <w:lang w:eastAsia="pt-BR"/>
      </w:rPr>
      <w:tab/>
    </w:r>
  </w:p>
  <w:p>
    <w:pPr>
      <w:pStyle w:val="Cabealho"/>
      <w:rPr>
        <w:sz w:val="20"/>
        <w:lang w:eastAsia="pt-BR"/>
      </w:rPr>
    </w:pPr>
    <w:r>
      <w:rPr>
        <w:sz w:val="20"/>
        <w:lang w:eastAsia="pt-BR"/>
      </w:rPr>
    </w:r>
  </w:p>
  <w:p>
    <w:pPr>
      <w:pStyle w:val="Cabealho"/>
      <w:jc w:val="center"/>
      <w:rPr>
        <w:sz w:val="20"/>
        <w:lang w:eastAsia="pt-BR"/>
      </w:rPr>
    </w:pPr>
    <w:r>
      <w:rPr>
        <w:sz w:val="20"/>
        <w:lang w:eastAsia="pt-BR"/>
      </w:rPr>
    </w:r>
  </w:p>
  <w:p>
    <w:pPr>
      <w:pStyle w:val="Cabealho"/>
      <w:jc w:val="center"/>
      <w:rPr>
        <w:rFonts w:ascii="Arial Narrow" w:hAnsi="Arial Narrow" w:cs="Arial Narrow"/>
        <w:sz w:val="18"/>
        <w:szCs w:val="18"/>
        <w:lang w:eastAsia="pt-BR"/>
      </w:rPr>
    </w:pPr>
    <w:r>
      <w:rPr>
        <w:rFonts w:cs="Arial Narrow" w:ascii="Arial Narrow" w:hAnsi="Arial Narrow"/>
        <w:sz w:val="18"/>
        <w:szCs w:val="18"/>
        <w:lang w:eastAsia="pt-BR"/>
      </w:rPr>
    </w:r>
  </w:p>
  <w:p>
    <w:pPr>
      <w:pStyle w:val="Cabealho"/>
      <w:tabs>
        <w:tab w:val="center" w:pos="0" w:leader="none"/>
        <w:tab w:val="center" w:pos="4252" w:leader="none"/>
        <w:tab w:val="right" w:pos="8504" w:leader="none"/>
      </w:tabs>
      <w:rPr>
        <w:rFonts w:ascii="Arial Narrow" w:hAnsi="Arial Narrow" w:cs="Arial Narrow"/>
        <w:sz w:val="18"/>
        <w:szCs w:val="18"/>
      </w:rPr>
    </w:pPr>
    <w:r>
      <w:rPr>
        <w:rFonts w:cs="Arial Narrow" w:ascii="Arial Narrow" w:hAnsi="Arial Narrow"/>
        <w:sz w:val="18"/>
        <w:szCs w:val="18"/>
      </w:rPr>
    </w:r>
  </w:p>
  <w:p>
    <w:pPr>
      <w:pStyle w:val="Cabealho"/>
      <w:tabs>
        <w:tab w:val="center" w:pos="0" w:leader="none"/>
        <w:tab w:val="center" w:pos="4252" w:leader="none"/>
        <w:tab w:val="right" w:pos="8504" w:leader="none"/>
      </w:tabs>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tabs>
        <w:tab w:val="center" w:pos="3544" w:leader="none"/>
        <w:tab w:val="center" w:pos="4252" w:leader="none"/>
        <w:tab w:val="right" w:pos="8504" w:leader="none"/>
      </w:tabs>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jc w:val="center"/>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pt-BR"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ontepargpadro1" w:customStyle="1">
    <w:name w:val="Fonte parág. padrão1"/>
    <w:qFormat/>
    <w:rPr/>
  </w:style>
  <w:style w:type="character" w:styleId="CabealhoChar" w:customStyle="1">
    <w:name w:val="Cabeçalho Char"/>
    <w:basedOn w:val="DefaultParagraphFont"/>
    <w:link w:val="Cabealho"/>
    <w:uiPriority w:val="99"/>
    <w:qFormat/>
    <w:rsid w:val="003540b2"/>
    <w:rPr>
      <w:sz w:val="24"/>
      <w:szCs w:val="24"/>
      <w:lang w:eastAsia="zh-CN"/>
    </w:rPr>
  </w:style>
  <w:style w:type="character" w:styleId="RodapChar" w:customStyle="1">
    <w:name w:val="Rodapé Char"/>
    <w:basedOn w:val="DefaultParagraphFont"/>
    <w:link w:val="Rodap"/>
    <w:uiPriority w:val="99"/>
    <w:qFormat/>
    <w:rsid w:val="003540b2"/>
    <w:rPr>
      <w:sz w:val="24"/>
      <w:szCs w:val="24"/>
      <w:lang w:eastAsia="zh-CN"/>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Ttulo1" w:customStyle="1">
    <w:name w:val="Título1"/>
    <w:basedOn w:val="Normal"/>
    <w:next w:val="Corpodotexto"/>
    <w:qFormat/>
    <w:pPr>
      <w:spacing w:lineRule="auto" w:line="360"/>
      <w:jc w:val="center"/>
    </w:pPr>
    <w:rPr>
      <w:rFonts w:ascii="Arial" w:hAnsi="Arial" w:cs="Arial"/>
      <w:b/>
      <w:bCs/>
    </w:rPr>
  </w:style>
  <w:style w:type="paragraph" w:styleId="Corpodotextorecuado">
    <w:name w:val="Body Text Indent"/>
    <w:basedOn w:val="Normal"/>
    <w:pPr>
      <w:spacing w:lineRule="auto" w:line="360"/>
      <w:ind w:firstLine="1134"/>
      <w:jc w:val="both"/>
    </w:pPr>
    <w:rPr>
      <w:rFonts w:ascii="Arial" w:hAnsi="Arial" w:cs="Arial"/>
    </w:rPr>
  </w:style>
  <w:style w:type="paragraph" w:styleId="CabealhoeRodap" w:customStyle="1">
    <w:name w:val="Cabeçalho e Rodapé"/>
    <w:basedOn w:val="Normal"/>
    <w:qFormat/>
    <w:pPr/>
    <w:rPr/>
  </w:style>
  <w:style w:type="paragraph" w:styleId="Cabealho">
    <w:name w:val="Header"/>
    <w:basedOn w:val="Normal"/>
    <w:link w:val="CabealhoChar"/>
    <w:unhideWhenUsed/>
    <w:rsid w:val="003540b2"/>
    <w:pPr>
      <w:tabs>
        <w:tab w:val="clear" w:pos="708"/>
        <w:tab w:val="center" w:pos="4252" w:leader="none"/>
        <w:tab w:val="right" w:pos="8504" w:leader="none"/>
      </w:tabs>
    </w:pPr>
    <w:rPr/>
  </w:style>
  <w:style w:type="paragraph" w:styleId="Rodap">
    <w:name w:val="Footer"/>
    <w:basedOn w:val="Normal"/>
    <w:link w:val="RodapChar"/>
    <w:unhideWhenUsed/>
    <w:rsid w:val="003540b2"/>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Application>LibreOffice/7.0.1.2$Windows_X86_64 LibreOffice_project/7cbcfc562f6eb6708b5ff7d7397325de9e764452</Application>
  <Pages>2</Pages>
  <Words>461</Words>
  <Characters>2613</Characters>
  <CharactersWithSpaces>3057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2021-09-09T00:18:00Z</dcterms:created>
  <dc:creator>Câmara Municipal de Vereadores de Três Passos</dc:creator>
  <dc:description/>
  <dc:language>pt-BR</dc:language>
  <cp:lastModifiedBy/>
  <cp:lastPrinted>1900-01-01T03:00:00Z</cp:lastPrinted>
  <dcterms:modified xsi:type="dcterms:W3CDTF">2021-10-18T14:12:47Z</dcterms:modified>
  <cp:revision>9</cp:revision>
  <dc:subject/>
  <dc:title>MODELO DE EMENDA ADITIVA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