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Luis da Silva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colocação de passeio público na Av. Perimetral, do Mercado Schroter até a creche Marlene Leonhardt, Bairro Santa Inês, </w:t>
      </w:r>
      <w:r>
        <w:rPr>
          <w:rFonts w:ascii="Arial" w:hAnsi="Arial"/>
          <w:color w:val="000000"/>
          <w:sz w:val="24"/>
          <w:szCs w:val="24"/>
        </w:rPr>
        <w:t>a pedido dos moradores e usuários, para o melhor trânsito das pessoas, especialmente de pais e crianças que se deslocam até a creche.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 de maio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Luis da Silva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>Flavio Habitzreiter</w:t>
      </w:r>
      <w:r>
        <w:rPr>
          <w:rFonts w:cs="Arial" w:ascii="Arial" w:hAnsi="Arial"/>
          <w:i/>
          <w:iCs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Application>LibreOffice/7.4.2.3$Windows_X86_64 LibreOffice_project/382eef1f22670f7f4118c8c2dd222ec7ad009daf</Application>
  <AppVersion>15.0000</AppVersion>
  <Pages>1</Pages>
  <Words>149</Words>
  <Characters>781</Characters>
  <CharactersWithSpaces>926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2023-05-25T13:58:53Z</dcterms:modified>
  <cp:revision>70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