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single"/>
        </w:rPr>
        <w:t>34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</w:t>
      </w:r>
      <w:r>
        <w:rPr>
          <w:rFonts w:cs="Arial" w:ascii="Arial" w:hAnsi="Arial"/>
          <w:sz w:val="24"/>
          <w:szCs w:val="24"/>
        </w:rPr>
        <w:t>34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 abertura de crédito suplementar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2022, que estima a receita e fixa a despesa do Município de Três Passos para o exercício de 2023.”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134</w:t>
      </w:r>
      <w:r>
        <w:rPr>
          <w:rFonts w:cs="Arial" w:ascii="Arial" w:hAnsi="Arial"/>
          <w:sz w:val="24"/>
          <w:szCs w:val="24"/>
        </w:rPr>
        <w:t>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25.273/2023, fazendo constar que o PL visa a abrir crédito adicional suplementar e não especial, conforme informação do Executivo Municipal.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26 de outubro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Jair Locatelli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LibreOffice/7.4.2.3$Windows_X86_64 LibreOffice_project/382eef1f22670f7f4118c8c2dd222ec7ad009daf</Application>
  <AppVersion>15.0000</AppVersion>
  <Pages>1</Pages>
  <Words>223</Words>
  <Characters>1219</Characters>
  <CharactersWithSpaces>1440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2022-03-18T09:33:00Z</cp:lastPrinted>
  <dcterms:modified xsi:type="dcterms:W3CDTF">2023-10-27T14:23:52Z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