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EMENDA MODIFICATIVA AO </w:t>
      </w:r>
      <w:r>
        <w:rPr>
          <w:rFonts w:cs="Arial" w:ascii="Arial" w:hAnsi="Arial"/>
          <w:b/>
          <w:bCs/>
          <w:sz w:val="24"/>
          <w:szCs w:val="24"/>
          <w:u w:val="single"/>
          <w:shd w:fill="FFFF00" w:val="clear"/>
        </w:rPr>
        <w:t>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  <w:shd w:fill="FFFF00" w:val="clear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  <w:shd w:fill="FFFF00" w:val="clear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  <w:shd w:fill="FFFF00" w:val="clear"/>
        </w:rPr>
        <w:t>51</w:t>
      </w:r>
      <w:r>
        <w:rPr>
          <w:rFonts w:cs="Arial" w:ascii="Arial" w:hAnsi="Arial"/>
          <w:b/>
          <w:bCs/>
          <w:sz w:val="24"/>
          <w:szCs w:val="24"/>
          <w:u w:val="single"/>
          <w:shd w:fill="FFFF00" w:val="clear"/>
        </w:rPr>
        <w:t>/2024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Constituição, Redação e Bem-Estar Social, usando de suas atribuições legais e regimentais, vem, perante V. 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51/2024,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alterar a ementa, os arts.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sz w:val="24"/>
          <w:szCs w:val="24"/>
        </w:rPr>
        <w:t>, bem como o título do anexo e as seguintes cláusulas deste: Primeira; Terceira e seu Parágrafo Único; Quarta e seu §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sz w:val="24"/>
          <w:szCs w:val="24"/>
        </w:rPr>
        <w:t xml:space="preserve">, Quinta e Sétima do anexo. </w:t>
      </w:r>
    </w:p>
    <w:p>
      <w:pPr>
        <w:pStyle w:val="Normal"/>
        <w:spacing w:lineRule="auto" w:line="276" w:before="0" w:after="0"/>
        <w:ind w:firstLine="708"/>
        <w:jc w:val="both"/>
        <w:rPr>
          <w:rFonts w:cs="Arial"/>
          <w:strike w:val="false"/>
          <w:dstrike w:val="false"/>
        </w:rPr>
      </w:pPr>
      <w:r>
        <w:rPr>
          <w:rFonts w:cs="Arial"/>
          <w:strike w:val="false"/>
          <w:dstrike w:val="false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eastAsia="Arial Unicode MS" w:cs="Arial" w:ascii="Arial" w:hAnsi="Arial"/>
          <w:sz w:val="24"/>
          <w:szCs w:val="24"/>
        </w:rPr>
        <w:t>Autoriza o Município de Três Passos a firmar Convênio com o Município de Tenente Portela, para fins de custeio do projeto técnico para construção da ponte de concreto armado na Linha Navegantes, sobre o Rio Turvo, que faz divisa entre estes Municípios.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Arial Unicode MS" w:cs="Arial" w:ascii="Arial" w:hAnsi="Arial"/>
          <w:sz w:val="24"/>
          <w:szCs w:val="24"/>
        </w:rPr>
        <w:t>Art. 1</w:t>
      </w:r>
      <w:r>
        <w:rPr>
          <w:rFonts w:eastAsia="Arial Unicode MS" w:cs="Arial" w:ascii="Arial" w:hAnsi="Arial"/>
          <w:strike/>
          <w:sz w:val="24"/>
          <w:szCs w:val="24"/>
        </w:rPr>
        <w:t>º</w:t>
      </w:r>
      <w:r>
        <w:rPr>
          <w:rFonts w:eastAsia="Arial Unicode MS" w:cs="Arial" w:ascii="Arial" w:hAnsi="Arial"/>
          <w:sz w:val="24"/>
          <w:szCs w:val="24"/>
        </w:rPr>
        <w:t xml:space="preserve"> Fica o Poder Executivo autorizado a firmar Convênio com o Município de Tenente Portela, objetivando o custeio do projeto técnico para construção da ponte de concreto armado na Linha Navegantes, sobre o Rio Turvo, na divisa entre os municípios de Três Passos e Tenente Portela.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Arial Unicode MS" w:cs="Arial" w:ascii="Arial" w:hAnsi="Arial"/>
          <w:sz w:val="24"/>
          <w:szCs w:val="24"/>
        </w:rPr>
        <w:t>Art. 2</w:t>
      </w:r>
      <w:r>
        <w:rPr>
          <w:rFonts w:eastAsia="Arial Unicode MS" w:cs="Arial" w:ascii="Arial" w:hAnsi="Arial"/>
          <w:strike/>
          <w:sz w:val="24"/>
          <w:szCs w:val="24"/>
        </w:rPr>
        <w:t>º</w:t>
      </w:r>
      <w:r>
        <w:rPr>
          <w:rFonts w:eastAsia="Arial Unicode MS" w:cs="Arial" w:ascii="Arial" w:hAnsi="Arial"/>
          <w:sz w:val="24"/>
          <w:szCs w:val="24"/>
        </w:rPr>
        <w:t xml:space="preserve"> A confecção do projeto técnico da ponte de que trata o art. 1</w:t>
      </w:r>
      <w:r>
        <w:rPr>
          <w:rFonts w:eastAsia="Arial Unicode MS" w:cs="Arial" w:ascii="Arial" w:hAnsi="Arial"/>
          <w:strike/>
          <w:sz w:val="24"/>
          <w:szCs w:val="24"/>
        </w:rPr>
        <w:t>º</w:t>
      </w:r>
      <w:r>
        <w:rPr>
          <w:rFonts w:eastAsia="Arial Unicode MS" w:cs="Arial" w:ascii="Arial" w:hAnsi="Arial"/>
          <w:sz w:val="24"/>
          <w:szCs w:val="24"/>
        </w:rPr>
        <w:t xml:space="preserve"> desta Lei obedecerá rigorosamente ao Termo de Referência elaborado pela equipe técnica do Município de Três Passos, e a participação financeira de cada um dos Municípios dar-se-á na forma descrita no Termo de Convênio.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eastAsia="Arial Unicode MS" w:cs="Arial" w:ascii="Arial" w:hAnsi="Arial"/>
        </w:rPr>
        <w:t>……………………………………</w:t>
      </w:r>
      <w:r>
        <w:rPr>
          <w:rFonts w:eastAsia="Arial Unicode MS" w:cs="Arial" w:ascii="Arial" w:hAnsi="Arial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Arial Unicode MS" w:cs="Arial" w:ascii="Arial" w:hAnsi="Arial"/>
          <w:sz w:val="24"/>
          <w:szCs w:val="24"/>
        </w:rPr>
        <w:t>Art. 3</w:t>
      </w:r>
      <w:r>
        <w:rPr>
          <w:rFonts w:eastAsia="Arial Unicode MS" w:cs="Arial" w:ascii="Arial" w:hAnsi="Arial"/>
          <w:strike/>
          <w:sz w:val="24"/>
          <w:szCs w:val="24"/>
        </w:rPr>
        <w:t>º</w:t>
      </w:r>
      <w:r>
        <w:rPr>
          <w:rFonts w:eastAsia="Arial Unicode MS" w:cs="Arial" w:ascii="Arial" w:hAnsi="Arial"/>
          <w:sz w:val="24"/>
          <w:szCs w:val="24"/>
        </w:rPr>
        <w:t xml:space="preserve"> - Servirá para cobertura das despesas do referido Termo de Convênio a seguinte dotação orçamentária: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Arial Unicode MS" w:cs="Arial" w:ascii="Arial" w:hAnsi="Arial"/>
          <w:sz w:val="24"/>
          <w:szCs w:val="24"/>
        </w:rPr>
        <w:t>Órgão 07 – Secretaria Municipal de Transportes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Arial Unicode MS" w:cs="Arial" w:ascii="Arial" w:hAnsi="Arial"/>
          <w:sz w:val="24"/>
          <w:szCs w:val="24"/>
        </w:rPr>
        <w:t>Programa 0125 – Desenvolvimento de Mobilidade na Área Rural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Arial Unicode MS" w:cs="Arial" w:ascii="Arial" w:hAnsi="Arial"/>
          <w:sz w:val="24"/>
          <w:szCs w:val="24"/>
        </w:rPr>
        <w:t>Ação 2.028 – Obras, Manutenção, Conservação e Sinalização de Estradas Municipais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eastAsia="Arial Unicode MS" w:cs="Arial" w:ascii="Arial" w:hAnsi="Arial"/>
          <w:sz w:val="24"/>
          <w:szCs w:val="24"/>
        </w:rPr>
        <w:t>Despesa 3.3.90.39.00.00.00.00 – Outros Serviços de Terceiros – Pessoa Jurídica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eastAsia="Arial Unicode MS" w:cs="Arial" w:ascii="Arial" w:hAnsi="Arial"/>
        </w:rPr>
        <w:t>……………………………………</w:t>
      </w:r>
      <w:r>
        <w:rPr>
          <w:rFonts w:eastAsia="Arial Unicode MS" w:cs="Arial" w:ascii="Arial" w:hAnsi="Arial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TERMO DE CONVÊNIO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eastAsia="Arial Unicode MS" w:cs="Arial" w:ascii="Arial" w:hAnsi="Arial"/>
        </w:rPr>
        <w:t>……………………………………</w:t>
      </w:r>
      <w:r>
        <w:rPr>
          <w:rFonts w:eastAsia="Arial Unicode MS" w:cs="Arial" w:ascii="Arial" w:hAnsi="Arial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CLÁUSULA PRIMEIRA – DO OBJETO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Constitui objeto deste Termo de Convênio a elaboração de projeto técnico para construção da ponte de concreto armado, na Linha Navegantes, sobre o Rio Turvo, que faz divisa entre os Municípios.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eastAsia="Arial Unicode MS" w:cs="Arial" w:ascii="Arial" w:hAnsi="Arial"/>
        </w:rPr>
        <w:t>……………………………………</w:t>
      </w:r>
      <w:r>
        <w:rPr>
          <w:rFonts w:eastAsia="Arial Unicode MS" w:cs="Arial" w:ascii="Arial" w:hAnsi="Arial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CLÁUSULA TERCEIRA - PRAZO DE VIGÊNCIA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 presente Termo de Convênio é firmado pelo prazo de dois meses, a contar de sua assinatura, podendo prorrogar-se por um mês, com solicitação formal e antecedência de no mínimo quinze dias do término de sua vigência.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Parágrafo único. Considerar-se-á extinto o presente Termo de Convênio tão logo seja concluído o seu objeto, mediante recebimento definitivo do objeto e liquidadas todas as obrigações pertinentes a cada uma das partes.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CLÁUSULA QUARTA – DA RESCISÃO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 descumprimento por qualquer das partes das obrigações assumidas no presente Termo de Convênio implicará rescisão do mesmo, independentemente de outras cominações legais, sem direito a indenização à parte que deu motivo à justa causa.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§ 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O descumprimento das obrigações será objeto de comunicação escrita, tendo a parte inadimplente o prazo de cinco dias para alegar o que entender de direito.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§ 2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A parte que denunciar este Termo de Convênio antes da data prevista para seu término, deverá indenizar a outra, proporcionalmente, em valor a ser calculado, devendo-se levar em consideração o tempo decorrido da assinatura deste instrumento e dos investimentos realizados.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CLÁUSULA QUINTA - ALTERAÇÃO DO VALOR DO OBJETO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 valor estabelecido neste Termo de Convênio poderá ser alterado, em comum acordo entre as partes nas seguintes hipóteses: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eastAsia="Arial Unicode MS" w:cs="Arial" w:ascii="Arial" w:hAnsi="Arial"/>
        </w:rPr>
        <w:t>……………………………………</w:t>
      </w:r>
      <w:r>
        <w:rPr>
          <w:rFonts w:eastAsia="Arial Unicode MS" w:cs="Arial" w:ascii="Arial" w:hAnsi="Arial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CLÁUSULA SÉTIMA – DA ALTERAÇÃO DO TERMO DE CONVÊNIO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eastAsia="Arial Unicode MS" w:cs="Arial" w:ascii="Arial" w:hAnsi="Arial"/>
        </w:rPr>
        <w:t>……………………………………</w:t>
      </w:r>
      <w:r>
        <w:rPr>
          <w:rFonts w:eastAsia="Arial Unicode MS" w:cs="Arial" w:ascii="Arial" w:hAnsi="Arial"/>
        </w:rPr>
        <w:t>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737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presente emenda modificativa apresentada tem por objetivo alterar a redação  da ementa, dos arts.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sz w:val="24"/>
          <w:szCs w:val="24"/>
        </w:rPr>
        <w:t>, bem como do título do anexo e as seguintes cláusulas deste: Primeira; Terceira e seu Parágrafo Único; Quarta e seu §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sz w:val="24"/>
          <w:szCs w:val="24"/>
        </w:rPr>
        <w:t xml:space="preserve">, Quinta e Sétima, substituindo a redação de “Termo de Cooperação” por “Convênio” </w:t>
      </w:r>
      <w:r>
        <w:rPr>
          <w:rFonts w:cs="Arial" w:ascii="Arial" w:hAnsi="Arial"/>
          <w:sz w:val="24"/>
          <w:szCs w:val="24"/>
        </w:rPr>
        <w:t>com base na recomendação constante na Orientação Técnica do IGAM registrada sob o número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12.817/2024.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Passos, 14 de junho de 2024.</w:t>
      </w:r>
    </w:p>
    <w:p>
      <w:pPr>
        <w:pStyle w:val="Normal"/>
        <w:spacing w:lineRule="auto" w:line="276"/>
        <w:ind w:firstLine="737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Nader Umar</w:t>
        <w:tab/>
        <w:tab/>
        <w:tab/>
        <w:t>João Boll</w:t>
        <w:tab/>
        <w:tab/>
        <w:t>Diego Maciel</w:t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Membros da Comissão de Constituição e Redação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paragraph" w:styleId="Recuodecorpodetexto3">
    <w:name w:val="Recuo de corpo de texto 3"/>
    <w:basedOn w:val="Normal"/>
    <w:qFormat/>
    <w:pPr>
      <w:ind w:left="0" w:right="0" w:firstLine="1620"/>
      <w:jc w:val="both"/>
    </w:pPr>
    <w:rPr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Application>LibreOffice/7.4.2.3$Windows_X86_64 LibreOffice_project/382eef1f22670f7f4118c8c2dd222ec7ad009daf</Application>
  <AppVersion>15.0000</AppVersion>
  <Pages>3</Pages>
  <Words>694</Words>
  <Characters>3781</Characters>
  <CharactersWithSpaces>4458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2024-05-17T11:29:47Z</cp:lastPrinted>
  <dcterms:modified xsi:type="dcterms:W3CDTF">2024-06-14T14:35:08Z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