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DIEGO MACIEL, </w:t>
      </w:r>
      <w:r>
        <w:rPr>
          <w:rFonts w:ascii="Arial" w:hAnsi="Arial"/>
          <w:color w:val="000000"/>
          <w:sz w:val="24"/>
          <w:szCs w:val="24"/>
        </w:rPr>
        <w:t>da Bancada do PT</w:t>
      </w:r>
      <w:r>
        <w:rPr>
          <w:rFonts w:cs="Arial" w:ascii="Arial" w:hAnsi="Arial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color w:val="000000"/>
          <w:sz w:val="24"/>
          <w:szCs w:val="24"/>
        </w:rPr>
        <w:t>com o apoio dos demais vereadores abaixo assinados,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alteração da Lei Municipal nº 5.496, de 2019, que dispõe sobre a reestruturação do plano de classificação de cargos e funções, criação e extinção de cargos, estabelece o plano de pagamento, de forma que a referida norma passe a contemplar os anseios por valorização salarial e funcional das servidoras e servidores ocupantes do cargo de Monitor Educacional no Município de Três Passos. </w:t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As argumentações em anexo embasam a presente indicação. A seguir, as sugestões de ajustes apresentadas:</w:t>
      </w:r>
    </w:p>
    <w:p>
      <w:pPr>
        <w:pStyle w:val="Normal"/>
        <w:spacing w:before="120" w:after="0"/>
        <w:ind w:firstLine="1418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Alteração na Lei Municipal nº. 5.496/2019, com a passagem do cargo para o Padrão 04, com a devida equiparação salarial.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Concessão de adicional de insalubridade para o cargo, uma vez que os argumentos e documentos em anexo mostram que outros municípios da região celeiro possuem este adicional para cargo com as mesmas atribuições do Monitor Educacional de Três Passos.</w:t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Criação de uma gratificação de desempenho de função no valor equivalente a 40% do salário-base do cargo.</w:t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12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5</w:t>
      </w:r>
      <w:r>
        <w:rPr>
          <w:sz w:val="24"/>
          <w:szCs w:val="24"/>
          <w:lang w:val="pt-BR"/>
        </w:rPr>
        <w:t xml:space="preserve"> de julho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DIEGO MACIEL   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Gilmar Maier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PCdoB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851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4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LibreOffice/7.4.2.3$Windows_X86_64 LibreOffice_project/382eef1f22670f7f4118c8c2dd222ec7ad009daf</Application>
  <AppVersion>15.0000</AppVersion>
  <Pages>2</Pages>
  <Words>257</Words>
  <Characters>1353</Characters>
  <CharactersWithSpaces>1598</CharactersWithSpaces>
  <Paragraphs>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2024-06-05T16:54:00Z</dcterms:created>
  <dc:creator>Câmara Municipal de Vereadores de Três Passos</dc:creator>
  <dc:description/>
  <dc:language>pt-BR</dc:language>
  <cp:lastModifiedBy/>
  <cp:lastPrinted>2024-05-23T16:57:00Z</cp:lastPrinted>
  <dcterms:modified xsi:type="dcterms:W3CDTF">2024-07-08T18:49:17Z</dcterms:modified>
  <cp:revision>14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