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>, da Bancada do PP, com o apoio dos vereadores que abaixo subscrevem, apresenta a Vossa Excelência, nos termos do art. 204 do Regimento Interno, a presente indicação ao Senhor Prefeito Municipal, solicitando que seja realizado estudo de viabilidade com o objetivo de centralizar, junto à Farmácia Municipal, o protocolo (cadastro e atualização) dos pacientes que necessitam de insulina, fitas de glicemia e aparelhos para controle de glicose.</w:t>
      </w:r>
    </w:p>
    <w:p>
      <w:pPr>
        <w:pStyle w:val="BodyText"/>
        <w:suppressAutoHyphens w:val="true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A presente solicitação tem por base a constatação de que o protocolo atualmente é realizado na sede da Prefeitura, o que exige o deslocamento de pacientes — muitos deles com mobilidade reduzida — até outro ponto da cidade. Centralizar esse processo na Farmácia Municipal tornará o atendimento mais acessível, ágil e eficaz, evitando deslocamentos desnecessários e facilitando o acompanhamento por parte da equipe de saúde.</w:t>
      </w:r>
    </w:p>
    <w:p>
      <w:pPr>
        <w:pStyle w:val="BodyText"/>
        <w:suppressAutoHyphens w:val="true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Considerando que tal medida trará mais praticidade, conforto e agilidade aos pacientes, além de promover uma melhoria na qualidade do serviço público de saúde, entende-se como pertinente a adoção dessa sugestão pela Administração Municipal.</w:t>
      </w:r>
    </w:p>
    <w:p>
      <w:pPr>
        <w:pStyle w:val="BodyText"/>
        <w:suppressAutoHyphens w:val="true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Essa medida visa garantir um atendimento mais humanizado e eficiente, reforçando o compromisso do Município com a saúde e o bem-estar da população.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10</w:t>
      </w:r>
      <w:r>
        <w:rPr>
          <w:rFonts w:eastAsia="Arial" w:ascii="Arial" w:hAnsi="Arial"/>
        </w:rPr>
        <w:t xml:space="preserve"> de abril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LibreOffice/25.2.1.2$Windows_X86_64 LibreOffice_project/d3abf4aee5fd705e4a92bba33a32f40bc4e56f49</Application>
  <AppVersion>15.0000</AppVersion>
  <Pages>1</Pages>
  <Words>272</Words>
  <Characters>1556</Characters>
  <CharactersWithSpaces>1841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2025-04-11T09:50:44Z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