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PAULO GILCEU SATTLER</w:t>
      </w:r>
      <w:r>
        <w:rPr>
          <w:rFonts w:eastAsia="Times New Roman" w:cs="Arial" w:ascii="Arial" w:hAnsi="Arial"/>
          <w:lang w:eastAsia="pt-BR" w:bidi="ar-SA"/>
        </w:rPr>
        <w:t xml:space="preserve">,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do Partido PDT</w:t>
      </w:r>
      <w:r>
        <w:rPr>
          <w:rFonts w:eastAsia="Times New Roman" w:cs="Arial" w:ascii="Arial" w:hAnsi="Arial"/>
          <w:lang w:eastAsia="pt-BR" w:bidi="ar-SA"/>
        </w:rPr>
        <w:t xml:space="preserve">, </w:t>
      </w:r>
      <w:r>
        <w:rPr>
          <w:rFonts w:eastAsia="Times New Roman" w:cs="Arial" w:ascii="Arial" w:hAnsi="Arial"/>
          <w:lang w:eastAsia="pt-BR" w:bidi="ar-SA"/>
        </w:rPr>
        <w:t>abaixo firmado</w:t>
      </w:r>
      <w:r>
        <w:rPr>
          <w:rFonts w:eastAsia="Times New Roman" w:cs="Arial" w:ascii="Arial" w:hAnsi="Arial"/>
          <w:lang w:eastAsia="pt-BR" w:bidi="ar-SA"/>
        </w:rPr>
        <w:t>, apresenta a Vossa Excelência, nos termos do art. 204 do Regimento Interno, a presente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</w:t>
      </w:r>
      <w:r>
        <w:rPr>
          <w:rStyle w:val="Strong"/>
          <w:rFonts w:eastAsia="Times New Roman" w:cs="Arial" w:ascii="Arial" w:hAnsi="Arial"/>
          <w:b w:val="false"/>
          <w:bCs w:val="false"/>
          <w:lang w:eastAsia="pt-BR" w:bidi="ar-SA"/>
        </w:rPr>
        <w:t>indicação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sugerindo ao Senhor Prefeito Municipal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o encaminhamento a esta Casa Legislativa de projeto de lei visando à alteração da Lei n</w:t>
      </w:r>
      <w:r>
        <w:rPr>
          <w:rFonts w:eastAsia="Times New Roman" w:cs="Arial" w:ascii="Arial" w:hAnsi="Arial"/>
          <w:b w:val="false"/>
          <w:bCs w:val="false"/>
          <w:strike/>
          <w:lang w:eastAsia="pt-BR" w:bidi="ar-SA"/>
        </w:rPr>
        <w:t>º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5.680, de 15 de dezembro de 2021, que autoriza o Poder Executivo Municipal a subsidiar os suinocultores na construção e ampliação de chiqueirões, para revogar o 4</w:t>
      </w:r>
      <w:r>
        <w:rPr>
          <w:rFonts w:eastAsia="Times New Roman" w:cs="Arial" w:ascii="Arial" w:hAnsi="Arial"/>
          <w:b w:val="false"/>
          <w:bCs w:val="false"/>
          <w:strike/>
          <w:lang w:eastAsia="pt-BR" w:bidi="ar-SA"/>
        </w:rPr>
        <w:t>º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do art. 1</w:t>
      </w:r>
      <w:r>
        <w:rPr>
          <w:rFonts w:eastAsia="Times New Roman" w:cs="Arial" w:ascii="Arial" w:hAnsi="Arial"/>
          <w:b w:val="false"/>
          <w:bCs w:val="false"/>
          <w:strike/>
          <w:lang w:eastAsia="pt-BR" w:bidi="ar-SA"/>
        </w:rPr>
        <w:t>º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, e com isso o Município possa subsidiar os suinocultores nas adequações e adaptações a serem feitas em suas propriedades, por exigência das empresas integradores, com base em norma estadual, baseadas na regra da biosseguridade e na questão sanitária.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A atual redação do referido dispositivo prevê o seguinte: “projetos de adequações e/ou adaptações de instalações já existentes, em mudanças de sistemas de criação ou finalidade de uso destas instalações, não farão jus aos subsídios da presente lei”.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Justifica-se a revogação, tendo em vista que muitos produtores rurais têm de realizar adaptações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e adequações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em suas propriedades, ou seja, precisam construir composterias novas e instalar cercamento no entorno da granja da esterqueira, com altura de 1,5 metros e 1,20 metros, com muro de 20cm. Além disso, é preciso também local para banho; controle de roedores e moscas, com fichas de anotação; água com controle de qualidade; tela antipasto, inclusive junto à abertura dos climatizadores; cortinas e forração em bom estado; e bomba de desinfecção em cada galpão.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Salienta-se que tais exigências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têm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prazo para concretização até o mês de maio do ano de 2026, abrangendo todos os produtores rurais: UPL, creche e terminação.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>Portanto,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 os suinocultores necessitam do apoio da administração pública municipal, não somente para construção e ampliação de chiqueirões, mas também para adaptações e adequações.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26 de setembro</w:t>
      </w:r>
      <w:r>
        <w:rPr>
          <w:rFonts w:eastAsia="Arial" w:ascii="Arial" w:hAnsi="Arial"/>
        </w:rPr>
        <w:t xml:space="preserve">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Paulo Sattler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</w:t>
      </w:r>
      <w:r>
        <w:rPr>
          <w:rFonts w:ascii="Arial" w:hAnsi="Arial"/>
        </w:rPr>
        <w:t>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696595" cy="7867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LibreOffice/25.2.5.2$Windows_X86_64 LibreOffice_project/03d19516eb2e1dd5d4ccd751a0d6f35f35e08022</Application>
  <AppVersion>15.0000</AppVersion>
  <Pages>1</Pages>
  <Words>360</Words>
  <Characters>1992</Characters>
  <CharactersWithSpaces>2343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2025-09-26T13:57:51Z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